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PE24.009626 vom 2. April 2025</w:t>
      </w:r>
    </w:p>
    <w:p>
      <w:r>
        <w:t>VD Tribunal cantonal, 2025-04-02, FR</w:t>
      </w:r>
    </w:p>
    <w:p>
      <w:r>
        <w:rPr>
          <w:b/>
        </w:rPr>
        <w:t xml:space="preserve">Quelle: </w:t>
      </w:r>
      <w:r>
        <w:t>https://mcp.opencaselaw.ch/entscheid/vd_gerichte_PE24.009626</w:t>
      </w:r>
    </w:p>
    <w:p>
      <w:r>
        <w:t>FR: VD_GERICHTE PE24.009626 du 2 avril 2025</w:t>
      </w:r>
    </w:p>
    <w:p>
      <w:r>
        <w:t>IT: VD_GERICHTE PE24.009626 del 2 aprile 2025</w:t>
      </w:r>
    </w:p>
    <w:p>
      <w:pPr>
        <w:pStyle w:val="Heading2"/>
      </w:pPr>
      <w:r>
        <w:t>Erwägungen</w:t>
      </w:r>
    </w:p>
    <w:p>
      <w:r>
        <w:rPr>
          <w:b/>
        </w:rPr>
        <w:t>E. 1.1</w:t>
      </w:r>
    </w:p>
    <w:p>
      <w:r>
        <w:t>J.________ est né le [...] 1983 à [...], Canada, pays dont il est ressortissant. Il est divorcé et a deux enfants, dont il n’a pas la garde, mais sur lesquels il exerce un droit de visite. Il est soudeur de profession. Son diplôme étranger n’est cependant pas reconnu en Suisse. Il se trouve actuellement sans emploi et bénéficie de l’aide sociale. Au 30 janvier</w:t>
      </w:r>
    </w:p>
    <w:p>
      <w:r>
        <w:t>- 8 - 2025, il faisait l’objet de 47 actes de défaut de biens pour un montant total de 133’775 francs. A l’audience d’appel, il a expliqué suivre un programme de réinsertion placé par le chômage, afin de renouveler son certificat de soudeur. Il est actuellement en recherche d’un emploi dans ce domaine. Une action en modification des pensions alimentaires est en cours.</w:t>
      </w:r>
    </w:p>
    <w:p>
      <w:r>
        <w:rPr>
          <w:b/>
        </w:rPr>
        <w:t>E. 1.2</w:t>
      </w:r>
    </w:p>
    <w:p>
      <w:r>
        <w:t>L’extrait du casier judiciaire suisse de J.________ comprend les inscriptions suivantes : - 09.12.2020 : Ministère public de l’arrondissement de Lausanne, violation d’une obligation d’entretien, peine pécuniaire de 130 jours-amende à 30 fr. le jour avec sursis dont le délai d’épreuve s’élève à</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- 10 -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Selon le jugement de divorce rendu le 29 avril 2019 par le Tribunal d’arrondissement de la Broye et du Nord vaudois, exécutoire depuis le 4 juin 2019, J.________ est astreint au paiement d’une pension alimentaire en faveur de ses enfants [...], né le [...] 2011, et [...], né le [...] 2012. Ladite pension a été fixée mensuellement à 650 fr. jusqu’à l’âge de 12 ans révolus, puis à 700 fr. jusqu’à l’âge de 16 ans révolus et à 750 fr. jusqu’à la majorité ou l’achèvement de la formation professionnelle.</w:t>
      </w:r>
    </w:p>
    <w:p>
      <w:r>
        <w:rPr>
          <w:b/>
        </w:rPr>
        <w:t>E. 2.2</w:t>
      </w:r>
    </w:p>
    <w:p>
      <w:r>
        <w:t>A [...], au domicile du crédirentier, de janvier à mai 2021, en juillet 2021 et de décembre 2022 à avril 2024, J.________ ne s’est pas acquitté de la pension due en faveur de ses enfants, alors même qu’il en aurait eu au moins partiellement les moyens.</w:t>
      </w:r>
    </w:p>
    <w:p>
      <w:r>
        <w:t>- 9 - Par ses omissions, J.________ a accumulé un arriéré pénal de 30’500 fr. pour les périodes précitées.</w:t>
      </w:r>
    </w:p>
    <w:p>
      <w:r>
        <w:rPr>
          <w:b/>
        </w:rPr>
        <w:t>E. 2.3</w:t>
      </w:r>
    </w:p>
    <w:p>
      <w:r>
        <w:t>; TF 6B_1180/2020 du 10 juin 2021 consid. 3.2 ; TF 6B_540/2020 du 22 octobre 2020 consid. 2.3).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 TF 6B_679/2022 précité consid. 2.3 ; TF 6B_1017/2016 du 10 juillet 2017 consid. 2.4).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p. 90 ; TF 6B_455/2013 du 29 juillet 2013 consid. 1.1.1). Le juge pénal est lié par la contribution d’entretien fixée par le juge civil (TF 6B_376/2023 du 18 octobre 2023 consid. 2.2).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6B_376/2023 précité consid. 2.2 ; TF 6B_679/2022 précité consid. 2.3 ; TF 6B_1180/2020 précité consid. 3.2).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w:t>
      </w:r>
    </w:p>
    <w:p>
      <w:r>
        <w:t>- 13 -</w:t>
      </w:r>
    </w:p>
    <w:p>
      <w:r>
        <w:rPr>
          <w:b/>
        </w:rPr>
        <w:t>E. 3.1</w:t>
      </w:r>
    </w:p>
    <w:p>
      <w:r>
        <w:t>L’appelant conteste la durée de son activité délictueuse. Il explique, en substance, que, pour les mois de novembre à décembre 2020, il existait un avis aux débiteurs prélevant directement la somme due sur ses indemnités de l’assurance-chômage, de sorte que deux paiements ont eu lieu les 26 et 28 octobre 2020, puis un troisième le 24 novembre 2020 en faveur du BRAPA. Ainsi, les pensions alimentaires des mois de novembre et de décembre 2020 ont bien été versées. De plus, quant au fait que le tribunal a retenu qu’il percevait 3’500 fr. par mois d’indemnités de l’assurance-chômage jusqu’au mois de décembre 2021, il indique qu’il avait une saisie mensuelle sur ses indemnités à hauteur de 800 fr. dès le mois de juin 2021 et que le bénéficie de ces saisies avait été versé au BRAPA à hauteur de 4’749 fr.65. Ses indemnités ne s’élevaient donc plus qu’à 3’200 fr. par mois, dont il fallait encore déduire ses charges mensuelles incluant son minimum vital de 1’200 fr., son loyer de 2’200 fr. et son assurance-maladie par 360 fr., ce qui ne lui permettait pas de verser de contribution d’entretien. Il relève enfin qu’il a émargé à l’aide sociale dès le mois de décembre 2021.</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- 11 -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consid. 2a ; TF 6B_47/2018 consid. 1.1).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w:t>
      </w:r>
    </w:p>
    <w:p>
      <w:r>
        <w:rPr>
          <w:b/>
        </w:rPr>
        <w:t>E. 3.2.2</w:t>
      </w:r>
    </w:p>
    <w:p>
      <w:r>
        <w:t>Aux termes de l’art. 217 al. 1 CP, quiconque ne fournit pas les aliments ou les subsides qu’il doit en vertu du droit de la famille, quoiqu’il en ait les moyens ou puisse les avoir, est,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w:t>
      </w:r>
    </w:p>
    <w:p>
      <w:r>
        <w:t>- 12 - d’avoir violé son obligation d’entretien que s’il avait les moyens de la remplir ou aurait pu les avoir (TF 6B_679/2022 du 30 mars 2023 consid.</w:t>
      </w:r>
    </w:p>
    <w:p>
      <w:r>
        <w:rPr>
          <w:b/>
        </w:rPr>
        <w:t>E. 3.3</w:t>
      </w:r>
    </w:p>
    <w:p>
      <w:r>
        <w:t>Le premier juge a retenu que, selon le jugement de divorce du 29 avril 2019, J.________ percevait des indemnités nettes de l’assurance- chômage de l’ordre de 4’000 fr. par mois et qu’il n’avait payé aucune contribution d’entretien durant la période incriminée, le dernier versement du chômage selon le décompte produit par le BRAPA datant du 28 octobre 2020. De plus, il a relevé qu’entre les mois de novembre 2020 et de décembre 2021, l’appelant percevait des indemnités de l’assurance- chômage de l’ordre de 3’500 francs. Dans la mesure où des indemnités de chômage de 4’000 fr. avaient été prises en compte pour fixer les contributions d’entretien, l’appelant était en mesure, avec un revenu de 3’500 fr., de s’acquitter à tout le moins d’une contribution d’entretien de 800 fr. pour ses deux enfants, ce qu’il n’avait toutefois pas fait. Quant aux mois de janvier à novembre 2022, il avait bénéficié du revenu d’insertion et n’avait donc pas les moyens de payer les contributions d’entretien pour ses enfants. De décembre 2022 à avril 2023, J.________ percevait un salaire de 4’500 fr., si bien qu’il aurait pu s’acquitter des contributions d’entretien pour ses deux enfants à cette période. Il en allait de même pour la période allant de mai 2023 à avril 2024, puisqu’il percevait alors des revenus de 4’000 fr. par mois. Dès le mois de mai 2024, l’appelant percevait à nouveau le revenu d’insertion, sans qu’il soit établi qu’il aurait été en mesure de percevoir d’autres revenus.</w:t>
      </w:r>
    </w:p>
    <w:p>
      <w:r>
        <w:rPr>
          <w:b/>
        </w:rPr>
        <w:t>E. 3.4.1</w:t>
      </w:r>
    </w:p>
    <w:p>
      <w:r>
        <w:t>S’agissant des contributions d’entretien des mois de novembre et de décembre 2020, il ressort du relevé de compte civil du 12 juin 2025 établi par le BRAPA (P. 33/1) que les 26 et 28 octobre 2020, deux paiements ont été effectués auprès BRAPA. En outre, selon le décompte de l’assurance-chômage de l’appelant du 24 novembre 2020 (P. 15/2), une déduction de 1’300 fr. a été effectuée en faveur du BRAPA. Même si les montants du mois d’octobre ont été attribués à la contribution d’entretien du mois d’octobre par le BRAPA et si le versement du mois de novembre a finalement été ristourné à la caisse de chômage en date du 26 novembre</w:t>
      </w:r>
    </w:p>
    <w:p>
      <w:r>
        <w:t>- 14 - 2020 (P. 33/3), on peut retenir – au bénéfice du doute – que, dans la mesure où les pensions alimentaires sont payées pour le mois suivant et où une déduction salariale était opérée sur les indemnités de l’assurance- chômage du mois de novembre 2020, l’appelant pouvait considérer, de bonne foi, que les pensions alimentaires des mois de novembre et de décembre 2020 avaient été réglées. Partant, on ne saurait lui reprocher un comportement délictuel pour les mois de novembre et de décembre 2020.</w:t>
      </w:r>
    </w:p>
    <w:p>
      <w:r>
        <w:rPr>
          <w:b/>
        </w:rPr>
        <w:t>E. 3.4.2</w:t>
      </w:r>
    </w:p>
    <w:p>
      <w:r>
        <w:t>S’agissant de l’année 2021, l’appelant affirme qu’il percevait 3’500 fr. de l’assurance-chômage jusqu’au mois de décembre 2021. Dans le jugement de divorce du 29 avril 2019, il est toutefois constaté que J.________ est au chômage et touche une indemnité journalière de 215 fr. 65 brut, ce qui correspond à un montant mensuel net de l’ordre de 4’000 francs. Les pensions dues aux enfants ont précisément été arrêtées sur la base de ce revenu de 4’000 fr. pour J.________. On ne voit pas comment l’appelant arrive désormais à un montant mensuel de 3’500 fr. à titre d’indemnité de l’assurance-chômage. On peut relever que ses propres décomptes indiquent des montants perçus en 2021 supérieurs à 3’500 fr. (cf. P. 13), le montant mensuel de 4’000 fr. n’étant donc en réalité pas excessif. Lors de sa première audition du 22 avril 2024, J.________ a expliqué payer un loyer de 1’500 fr. et son assurance-maladie de 350 fr., charges auxquelles on peut ajouter la base mensuelle de 1’200 fr., ce qui représente un total de 3’050 francs. Ainsi, l’appelant avait un disponible suffisant pour payer à tout le moins partiellement les pensions dues à ses enfants, et ce de janvier à mai 2021. Toutefois, selon les relevés de l’Office des paiements de l’AI, l’appelant s’est effectivement vu déduire 800 fr. mensuellement sous l’intitulé « Déduction tiers Office des Poursuites d’Yverdon-Orbe » entre les mois de juin 2021 (sauf pour juillet 2021) et de décembre 2021. Or, le relevé de compte établi par le BRAPA indique la réception d’un montant de 4’749 fr. 65 en date du 30 mai 2022, montant qui semble correspondre aux déductions opérées sur les</w:t>
      </w:r>
    </w:p>
    <w:p>
      <w:r>
        <w:t>- 15 - indemnités versées. Par conséquent, on ne peut reprocher à l’appelant de ne pas avoir versé de pensions à ses enfants pour le mois juin 2021, puis la période d’août à décembre 2021.</w:t>
      </w:r>
    </w:p>
    <w:p>
      <w:r>
        <w:rPr>
          <w:b/>
        </w:rPr>
        <w:t>E. 3.4.3</w:t>
      </w:r>
    </w:p>
    <w:p>
      <w:r>
        <w:t>Des mois de janvier à novembre 2022, puis dès le mois de mai 2024, l’appelant était au bénéfice du RI. Le premier juge a considéré qu’il n’était pas établi que l’intéressé aurait eu les moyens de payer les contributions d’entretien pour ses deux enfants durant ces périodes. On ne discerne pas en quoi cette appréciation, qui est d’ailleurs favorable à l’appelant, serait erronée.</w:t>
      </w:r>
    </w:p>
    <w:p>
      <w:r>
        <w:rPr>
          <w:b/>
        </w:rPr>
        <w:t>E. 3.4.4</w:t>
      </w:r>
    </w:p>
    <w:p>
      <w:r>
        <w:t>Concernant la période de décembre 2022 à avril 2023, l’appelant percevait un salaire mensuel de 4’500 fr., puis de 4’000 fr. des mois de mai 2023 à avril 2024. Ces revenus étaient suffisants pour que l’appelant s’acquitte des pensions alimentaires.</w:t>
      </w:r>
    </w:p>
    <w:p>
      <w:r>
        <w:rPr>
          <w:b/>
        </w:rPr>
        <w:t>E. 3.4.5</w:t>
      </w:r>
    </w:p>
    <w:p>
      <w:r>
        <w:t>Partant, la condamnation de l’appelant pour violation d’une obligation d’entretien doit être confirmée, la période incriminée étant toutefois réduite.</w:t>
      </w:r>
    </w:p>
    <w:p>
      <w:r>
        <w:rPr>
          <w:b/>
        </w:rPr>
        <w:t>E. 4.1</w:t>
      </w:r>
    </w:p>
    <w:p>
      <w:r>
        <w:t>L’appelant conteste la peine infligée et requiert le sursis.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- 16 -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w:t>
      </w:r>
    </w:p>
    <w:p>
      <w:r>
        <w:rPr>
          <w:b/>
        </w:rPr>
        <w:t>E. 4.2.2</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6B_321/2025 du 25 juin 2025 consid. 2.1). En application de l’art. 44 al. 1 CP, si le juge suspend totalement ou partiellement l’exécution d’une peine, il impartit au</w:t>
      </w:r>
    </w:p>
    <w:p>
      <w:r>
        <w:t>- 17 - condamné un délai d’épreuve de deux à cinq ans. Le juge doit tenir compte des circonstances du cas d’espèce, en particulier de la personnalité et du caractère du condamné ainsi que du risque de récidive ; plus ce risque est sérieux et plus le délai d’épreuve sera long (Dupuis et al., Petit commentaire du Code pénal, 2e éd., Bâle 2017, n. 2 ad art. 44 CP et les références citées).</w:t>
      </w:r>
    </w:p>
    <w:p>
      <w:r>
        <w:rPr>
          <w:b/>
        </w:rPr>
        <w:t>E. 4.3</w:t>
      </w:r>
    </w:p>
    <w:p>
      <w:r>
        <w:t>La culpabilité de J.________ n’est pas anodine. En effet, l’appelant ne s’est acquitté d’aucune contribution d’entretien sur une longue période, préférant notamment faire des dépenses pour sa moto, la location d’un garage, ainsi que sa compagne et les enfants de celle-ci, alors même qu’il avait déjà été condamné en décembre 2020 pour la même infraction. La contribution d’entretien avait été fixée dans une convention qu’il avait librement signée. On ne discerne aucun élément à décharge. Une peine privative de liberté doit être prononcée pour des motifs de prévention spéciale, laquelle sera réduite à 6 mois, en raison de la réduction de la période délictueuse de 31 à 23 mois. Compte tenu des antécédents judiciaires de J.________ et de son absence de remise en question, le pronostic est défavorable et une peine ferme doit être prononcée. À l’instar du premier juge, on peut d’ailleurs espérer que la perspective de devoir exécuter une peine privative de liberté encourage l’appelant à trouver un emploi, ce qui le rendrait éligible à la semi- détention. L’avertissement adressé à l’appelant et la prolongation d’une année des deux sursis précédemment accordés seront confirmés.</w:t>
      </w:r>
    </w:p>
    <w:p>
      <w:r>
        <w:rPr>
          <w:b/>
        </w:rPr>
        <w:t>E. 5</w:t>
      </w:r>
    </w:p>
    <w:p>
      <w:r>
        <w:t>En définitive, l’appel de J.________ doit être partiellement admis et le jugement modifié dans le sens des considérants qui précèdent. Au vu de la liste des opérations produite par Me Mélanie Krattinger, défenseur d’office de J.________, dont il n’y a pas lieu de</w:t>
      </w:r>
    </w:p>
    <w:p>
      <w:r>
        <w:t>- 18 - s’écarter, à l’exception de la durée d’audience qui sera réduite à 25 minutes, c’est une indemnité de 2’117 fr. 75 qui doit lui être allouée. Vu l’issue de la cause, les frais de la procédure d’appel, par 3’837 fr. 75, constitués des émoluments de jugement et d’audience, par 1’720 fr. (art. 21 al. 1 et 2 TFIP [tarif des frais de procédure et indemnités en matière pénale du 28 septembre 2010 ; BLV 312.03.1]), et de l’indemnité allouée à son défenseur d’office, par 2’117 fr. 75, seront mis par une moitié, à savoir par 1’918 fr. 90, à la charge de J.________, qui succombe sur les questions de la quotité de peine et du sursis, le solde étant laissé à la charge de l’Etat. J.________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