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PE24.009320 vom 11. November 2024</w:t>
      </w:r>
    </w:p>
    <w:p>
      <w:r>
        <w:t>VD Tribunal cantonal, 2024-11-11, FR</w:t>
      </w:r>
    </w:p>
    <w:p>
      <w:r>
        <w:rPr>
          <w:b/>
        </w:rPr>
        <w:t xml:space="preserve">Quelle: </w:t>
      </w:r>
      <w:r>
        <w:t>https://mcp.opencaselaw.ch/entscheid/vd_gerichte_PE24.009320</w:t>
      </w:r>
    </w:p>
    <w:p>
      <w:r>
        <w:t>FR: VD_GERICHTE PE24.009320 du 11 novembre 2024</w:t>
      </w:r>
    </w:p>
    <w:p>
      <w:r>
        <w:t>IT: VD_GERICHTE PE24.009320 del 11 novembre 2024</w:t>
      </w:r>
    </w:p>
    <w:p>
      <w:pPr>
        <w:pStyle w:val="Heading2"/>
      </w:pPr>
      <w:r>
        <w:t>Erwägungen</w:t>
      </w:r>
    </w:p>
    <w:p>
      <w:r>
        <w:rPr>
          <w:b/>
        </w:rPr>
        <w:t>E. 2</w:t>
      </w:r>
    </w:p>
    <w:p>
      <w:r>
        <w:t>A Vallorbe, le 25 avril 2024 vers 18h00, Z.________ a circulé au guidon d’un cycle électrique alors qu’il se trouvait sous l’influence de l’alcool et du cannabis, ayant consommé du cannabis, des bières et de la vodka.</w:t>
      </w:r>
    </w:p>
    <w:p>
      <w:r>
        <w:rPr>
          <w:b/>
        </w:rPr>
        <w:t>E. 2.1</w:t>
      </w:r>
    </w:p>
    <w:p>
      <w:r>
        <w:t>La détention pour des motifs de sûreté commence lorsque l'acte d'accusation est notifié au tribunal de première instance et s'achève lorsque le jugement entre en force, que le prévenu commence à purger sa</w:t>
      </w:r>
    </w:p>
    <w:p>
      <w:r>
        <w:t>- 7 - sanction privative de liberté, qu'il soit libéré ou que l'expulsion soit exécutée (art. 220 al. 2 CPP).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w:t>
      </w:r>
    </w:p>
    <w:p>
      <w:r>
        <w:rPr>
          <w:b/>
        </w:rPr>
        <w:t>E. 2.2</w:t>
      </w:r>
    </w:p>
    <w:p>
      <w:r>
        <w:t>Le recourant ne conteste pas, à juste titre, l’existence de graves soupçons ni la réalisation du risque de fuite retenus par le Tribunal des mesures de contrainte. 3.</w:t>
      </w:r>
    </w:p>
    <w:p>
      <w:r>
        <w:rPr>
          <w:b/>
        </w:rPr>
        <w:t>E. 3</w:t>
      </w:r>
    </w:p>
    <w:p>
      <w:r>
        <w:t>A Vallorbe, Rue de la Gare 11, restaurant B.________, dans la nuit du 29 au 30 avril 2024, Z.________ a pénétré sans droit et par effraction dans le restaurant B.________ en brisant la fenêtre à l’aide d’une pierre, ce qui l’a endommagée. Une fois à l’intérieur, le prévenu a fouillé les lieux et y a dérobé une boîte métallique</w:t>
      </w:r>
    </w:p>
    <w:p>
      <w:r>
        <w:t>- 4 - située sous la caisse enregistreuse et contenant un montant de CHF 3'452.70, représentant les bénéfices de la semaine, avant de quitter les lieux.</w:t>
      </w:r>
    </w:p>
    <w:p>
      <w:r>
        <w:rPr>
          <w:b/>
        </w:rPr>
        <w:t>E. 3.1</w:t>
      </w:r>
    </w:p>
    <w:p>
      <w:r>
        <w:t>Le recourant invoque en premier lieu une violation du droit d’être entendu en lien avec le refus d’ordonner des mesures de substitution. Selon lui, la motivation de l’ordonnance sur ce point serait insuffisante et le Tribunal des mesures de contrainte aurait omis de fonder son argumentation sur un moyen qu’il avait soulevé dans ses déterminations du 18 octobre 2024. À cette occasion, il avait allégué que la détention pour motifs de sûreté n’avait pas pour objectif d’assurer une expulsion du territoire suisse et que, le cas échéant, d’autres mesures de nature administrative pouvaient être adoptées, telles qu’une détention administrative.</w:t>
      </w:r>
    </w:p>
    <w:p>
      <w:r>
        <w:rPr>
          <w:b/>
        </w:rPr>
        <w:t>E. 3.2.1</w:t>
      </w:r>
    </w:p>
    <w:p>
      <w:r>
        <w:t>Le droit d'être entendu, garanti par les art. 29 al. 2 Cst. (Constitution fédérale de la Confédération suisse du 18 avril 1999 ; RS 101) et 3 al. 2 let. c CPP, implique notamment pour l'autorité l'obligation</w:t>
      </w:r>
    </w:p>
    <w:p>
      <w:r>
        <w:t>- 8 - de motiver sa décision, afin que l'intéressé puisse la comprendre, se rendre compte de la portée de celle-ci et exercer son droit de recours à bon escient, et que l’autorité de recours puisse exercer son contrôle (ATF 146 II 335 consid. 5.1 ; ATF 143 IV 40 consid. 3.4.3 ; ATF 141 IV 249 consid. 1.3.1 ; TF 6B_1365/2022 du 25 janvier 2024 consid. 4.1). Ce devoir est également consacré à l'art. 80 al. 2 CPP, qui n'a toutefois pas de portée propre (TF 1B_16/2020 du 24 juin 2020 consid. 2.1). Pour satisfaire à ces exigences, il suffit que l'autorité mentionne, au moins brièvement, les motifs qui l'ont guidée et sur lesquels elle a fondé son raisonnement, de manière que l'intéressé puisse se rendre compte de la portée de celle- ci et l'attaquer en connaissance de cause (ATF 146 II 335 consid. 5.1 ; TF 7B_677/2023 du 24 novembre 2023 consid. 2.2). Il n’est pas tenu de discuter tous les arguments soulevés par les parties, mais peut se limiter à l’examen des questions décisives pour l’issue du litige (ATF 142 II 154 consid. 4.2). Dès lors qu’on peut discerner les motifs qui ont guidé la décision de l’autorité, le droit à une décision motivée est respecté, même si la motivation présentée est erronée (ATF 141 V 557 consid. 3.2.1). Le droit d'être entendu est une garantie constitutionnelle de caractère formel, dont la violation doit en principe entraîner l'annulation de la décision attaquée indépendamment des chances de succès du recourant sur le fond (ATF 144 I 11 consid. 5.3 ; ATF 142 II 218 consid. 2.8.1 et les réf. cit. ; TF 2C_94/2022 du 23 juin 2023 consid. 3.2). Une violation du droit d’être entendu peut être réparée lorsque la partie lésée a la possibilité de s’exprimer devant une autorité de recours jouissant – à l’instar de la Chambre des recours pénale – d’un plein pouvoir d’examen ; toutefois une telle réparation doit rester l’exception et n’est admissible qu’en présence d’une atteinte aux droits procéduraux qui n’est pas particulièrement grave ; cela étant, une réparation peut se concevoir, même en présence d’un vice grave, lorsqu’un renvoi constituerait une vaine formalité et un allongement inutile de la procédure (ATF 146 III 97 consid. 3.5.2 ; ATF 142 II 218 précité ; ATF 124 I 49 consid. 1 ; TF 2C_94/2022 précité).</w:t>
      </w:r>
    </w:p>
    <w:p>
      <w:r>
        <w:t>- 9 -</w:t>
      </w:r>
    </w:p>
    <w:p>
      <w:r>
        <w:rPr>
          <w:b/>
        </w:rPr>
        <w:t>E. 3.2.2</w:t>
      </w:r>
    </w:p>
    <w:p>
      <w:r>
        <w:t>L’art. 66a al. 1 let. d CP prévoit que le juge expulse de Suisse l’étranger qui est condamné pour un vol en lien avec une violation de domicile, quelle que soit la quotité de peine prononcée à son encontre, pour une durée de cinq à quinze ans. Selon le Tribunal fédéral, comme l’expulsion est une mesure à caractère pénal (art. 66a al. 1 let. b CP), les art. 220 al. 2 et 231 al. 1 let. a CPP fournissent une base légale suffisante pour maintenir une personne en détention pour des motifs de sûreté afin de garantir l'exécution de l'expulsion pénale (ATF 143 IV 168 consid. 3.2). Le Message du Conseil fédéral du 26 juin 2013 concernant une modification du code pénal et du code pénal militaire précise d'ailleurs que les dispositions du CPP ont été complétées pour mentionner expressément la détention pour des motifs de sûreté comme moyen d'assurer l'exécution de l'expulsion (FF 2013 pp. 5373 ss, spéc. 5444). En outre, le droit conventionnel autorise la détention d'une personne contre laquelle une procédure d'expulsion est en cours (art. 5 § 1 let. f CEDH). Comme il s'agit de détention pour des motifs de sûreté, celle-ci suppose qu'aucun jugement ne soit encore entré en force (ATF 143 IV 168 consid. 3.2). La compétence des autorités pénales, donnée jusqu'à l'achèvement de la procédure pénale, n'empêche cependant pas les autorités administratives d'intervenir avant ce stade : l'art. 76 al. 1 LEI (loi fédérale sur les étrangers et l’intégration du 16 décembre 2005 ; RS 142.20) permet à l'autorité administrative de placer ou de maintenir en détention administrative la personne concernée dès la notification d'une décision de « première instance » d'expulsion au sens des art. 66a ou 66abis CP, soit avant l'entrée en force du jugement pénal (ATF 143 IV 168 consid. 3.3).</w:t>
      </w:r>
    </w:p>
    <w:p>
      <w:r>
        <w:rPr>
          <w:b/>
        </w:rPr>
        <w:t>E. 3.2.3</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w:t>
      </w:r>
    </w:p>
    <w:p>
      <w:r>
        <w:t>- 10 - place de la détention provisoire ou de la détention pour des motifs de sûreté si ces mesures permettent d'atteindre le même but que la détention.</w:t>
      </w:r>
    </w:p>
    <w:p>
      <w:r>
        <w:rPr>
          <w:b/>
        </w:rPr>
        <w:t>E. 3.3</w:t>
      </w:r>
    </w:p>
    <w:p>
      <w:r>
        <w:t>Dans ses déterminations du 18 octobre 2024 au Tribunal des mesures de contrainte, le recourant a exposé ce qui suit : « On relèvera encore que la détention pour des motifs de sûreté n’a pas pour objectif d’assurer une expulsion du territoire suisse comme le soutient à tort le Ministère public. Cas échéant, d’autres mesures de nature administratives peuvent être adoptées, telles qu’une détention administrative prononcées conformément à la LEI ». Or, l’un des buts de la détention pour des motifs de sûreté est bel et bien d’assurer que l’expulsion puisse être exécutée. De plus, on ne saurait reprocher au Tribunal des mesures de contrainte de ne pas avoir examiné l’argument du recourant, dès lors que celui-ci a évoqué la possibilité d’une détention administrative, sans la motiver d’aucune manière. Dès lors que le Tribunal des mesures de contrainte a retenu un risque de fuite, qui est effectivement très concret au vu du statut précaire du recourant en Suisse et de son nomadisme en Europe, sa motivation sur ce point, certes succincte, permettait au recourant de comprendre le motif pour lequel aucune mesure de substitution n’était envisageable. Le Tribunal des mesures de contrainte a exprimé clairement que l’intensité de ce risque s’opposait implicitement aux mesures administratives invoquées. Dans tous les cas, une détention administrative ne saurait être envisagée en l’absence d’une quelconque décision de l’autorité compétente en la matière, à savoir le Service de la population. La détention administrative, qui est soumise à des règles spécifiques, n’est donc pas une alternative à la détention provisoire en matière pénale et on ne saurait reprocher au Tribunal des mesures de contrainte de ne pas l’avoir précisé expressément, alors que le prévenu n’avait abordé cette question que de manière lapidaire. De toute manière, même si l’absence de prise de position du Tribunal des mesures de contrainte sur ce point spécifique devait être considérée comme une violation du droit d’être entendu, ce vice éventuel</w:t>
      </w:r>
    </w:p>
    <w:p>
      <w:r>
        <w:t>- 11 - est dorénavant réparé, compte tenu du large pouvoir d’examen de la Cour de céans. Ce premier moyen doit donc être rejeté. 4.</w:t>
      </w:r>
    </w:p>
    <w:p>
      <w:r>
        <w:rPr>
          <w:b/>
        </w:rPr>
        <w:t>E. 4</w:t>
      </w:r>
    </w:p>
    <w:p>
      <w:r>
        <w:t>A Vallorbe, Grand Rue 23, magasin V.________, le 1er mai 2024 vers 03h00, Z.________ a tenté de pénétrer par effraction dans le magasin V.________ en forçant la porte coulissante du commerce, dans le but d’y dérober des biens, sans toutefois y parvenir.</w:t>
      </w:r>
    </w:p>
    <w:p>
      <w:r>
        <w:rPr>
          <w:b/>
        </w:rPr>
        <w:t>E. 4.1</w:t>
      </w:r>
    </w:p>
    <w:p>
      <w:r>
        <w:t>Le recourant invoque en outre une violation du principe de la proportionnalité, dès lors qu’il considère que la durée de sa détention au jour des débats aura dépassé la peine encourue. Selon lui, la peine qu’il risque ne serait pas importante au vu des faits reprochés et il cite à titre d’exemples plusieurs décisions de la Cour d’appel pénale prévoyant des peines d’une durée inférieure aux neuf mois de détention qu’il aura atteint le 21 janvier 2025. Il relève que le seul fait qu’un tribunal correctionnel ait été saisi n’est pas suffisant pour partir de l’idée que la peine prévisible sera forcément supérieure à douze mois.</w:t>
      </w:r>
    </w:p>
    <w:p>
      <w:r>
        <w:rPr>
          <w:b/>
        </w:rPr>
        <w:t>E. 4.2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w:t>
      </w:r>
    </w:p>
    <w:p>
      <w:r>
        <w:rPr>
          <w:b/>
        </w:rPr>
        <w:t>E. 4.3</w:t>
      </w:r>
    </w:p>
    <w:p>
      <w:r>
        <w:t>Il est vrai qu’on ne peut pas uniquement se fonder sur la compétence du tribunal correctionnel délimitée par l’art. 9 LVCPP (loi vaudoise d'introduction du Code de procédure pénale suisse du 19 mai 2009 ; BLV 312.01) et que le juge de la détention doit procéder à une estimation concrète en fonction des circonstances de la cause. Toutefois, les arrêts de la Cour d’appel pénale dont se prévaut le recourant ne lui sont d’aucun secours, d’une part parce que la situation des prévenus de ces autres affaires n’est en rien comparable à la sienne et d’autre part parce que la Cour d’appel était saisie d’appels de prévenus exclusivement</w:t>
      </w:r>
    </w:p>
    <w:p>
      <w:r>
        <w:t>- 12 - et n’avait donc aucun pouvoir de cognition pour augmenter la peine. En l’espèce, le recourant a des antécédents pour des faits de même nature et les infractions considérées dans la présente cause se situent sur une très courte période, ce qui tend à établir une activité et une volonté délictueuses assez intenses du recourant avant son interpellation. Dans ce contexte, il y a lieu de considérer que la sanction pour chacun des trois cas de cambriolages consommés ne sera pas négligeable (cf. supra A, cas 1, 3 et 5), de sorte que la durée de la détention avant jugement, qui s’élèvera à environ neuf mois au jour des débats, est tout à fait proportionnée. Il apparaît ainsi que, contrairement à ce que fait valoir le recourant, la peine prévisible pour sanctionner l’entier de son activité délictueuse pourrait bel et bien être supérieure à douze mois. Le principe de la proportionnalité étant respecté, le second moyen du recourant doit être rejeté. 5. Il résulte de ce qui précède que le recours, manifestement mal fondé, doit être rejeté sans échange d’écritures (art. 390 al. 2 CPP) et l’ordonnance attaquée confirmée. Compte tenu de la nature de l’affaire et de l’acte de recours déposé, l’indemnité allouée au défenseur d’office d’Z.________ sera fixée à 540 fr., correspondant à une activité nécessaire d’avocat de trois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et la TVA au taux de 8,1 %, par 44 fr. 60, soit à 596 fr. au total en chiffres arrondis. Vu le sort du recours, les frais de la procédure, constitués en l’espèce de l’émolument d'arrêt, par 1’320 fr. (art. 20 al. 1 TFIP), et des frais imputables à la défense d’office d’Z.________ (art. 422 al. 1 et 2 let. a</w:t>
      </w:r>
    </w:p>
    <w:p>
      <w:r>
        <w:t>- 13 - CPP), fixés à 596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22 octobre 2024 est confirmée. III. L’indemnité allouée au défenseur d’office d’Z.________ est fixée à 596 fr. (cinq cent nonante-six francs). IV. Les frais d’arrêt, par 1'320 fr. (mille trois cent vingt francs), ainsi que l’indemnité due au défenseur d’office d’Z.________, par 596 fr. (cinq cent nonante-six francs), sont mis à la charge de ce dernier. V. Le remboursement à l’Etat de l’indemnité allouée sous chiffre III ci-dessus ne sera exigible que pour autant que la situation financière d’Z.________ le permette. VI. L’arrêt est exécutoire. Le président : La greffière : Du Le présent arrêt, dont la rédaction a été approuvée à huis clos, est notifié, par l'envoi d'une copie complète, à : - Me Nathanaël Petermann (pour Z.________),</w:t>
      </w:r>
    </w:p>
    <w:p>
      <w:r>
        <w:t>- 14 - - Ministère public central, et communiqué à : - Mme la Présidente du Tribunal des mesures de contrainte, - Mme la Procureure cantonale Strada, - M. le Président du Tribunal d’arrondissement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A Vallorbe, Grand Rue 15, au restaurant I.________, le 2 mai 2024 entre 4h15 et 4h23, Z.________ a pénétré sans droit et par effraction dans le restaurant I.________ en forçant la porte d’entrée en faisant levier avec un outil indéterminé, ce qui l’a endommagée. Une fois à l’intérieur, le prévenu s’est servi d’une boisson, puis s’est dirigé vers la caisse, qui n’était pas verrouillée, et y a dérobé le fond de caisse pour un montant de CHF 500.-, avant de quitter les lieux.</w:t>
      </w:r>
    </w:p>
    <w:p>
      <w:r>
        <w:rPr>
          <w:b/>
        </w:rPr>
        <w:t>E. 6</w:t>
      </w:r>
    </w:p>
    <w:p>
      <w:r>
        <w:t>A Vallorbe, Grand Rue 15, au restaurant I.________, le 7 mai 2024 à 00h30, Z.________ a pénétré sans droit et par effraction dans le restaurant I.________ en forçant la porte d’une manière indéterminée, ce qui l’a endommagée. Une fois à l’intérieur, le prévenu a fouillé les lieux et a ouvert la caisse enregistreuse, qui était vide. Le prévenu est ressorti par la porte d’entrée suite aux injonctions de la police, sans rien avoir pu emporter. » Le 15 octobre 2024, le Ministère public a saisi le Tribunal des mesures de contrainte d’une demande de détention pour des motifs de sûreté d’Z.________, invoquant la persistance des risques de fuite et de récidive. Le Ministère public a annoncé qu’une expulsion au sens de l’art. 66 al. 1 CP (Code pénal suisse du 21 décembre 1937 ; RS 311.0) serait requise et que la détention provisoire se justifiait également dans le but de garantir l’exécution de cette expulsion. Par ordonnance du 16 octobre 2024, le Tribunal des mesures de contrainte a ordonné, à titre de mesure temporaire, la détention pour des motifs de sûreté d’Z.________ jusqu’à droit connu sur la demande du Ministère public. Il a par ailleurs imparti au prévenu un délai de trois jours pour se déterminer sur celle-ci. Celui-ci a agi en ce sens le 18 octobre 2024.</w:t>
      </w:r>
    </w:p>
    <w:p>
      <w:r>
        <w:t>- 5 - En date du 18 octobre 2024, le Tribunal correctionnel de l’arrondissement et de la Broye et du Nord vaudois a fixé les débats au 21 janvier 2025. B. Par ordonnance du 22 octobre 2024, le Tribunal des mesures de contrainte a ordonné la détention pour des motifs de sûreté d’Z.________ (I), a fixé la durée maximale de la détention pour des motifs de sûreté au plus tard jusqu’au 28 janvier 2025 (II), et a dit que les frais suivaient le sort de la cause (III). Le Tribunal des mesures de contrainte a retenu un risque de fuite, exposant que le prévenu n’avait qu’un statut provisoire et incertain en Suisse, qu’il n’avait aucune attache dans ce pays, toute sa famille vivant en Tunisie, et qu’il n’avait pas de domicile fixe ou d’emploi. En outre, il ressortait de ses déclarations, qu’il avait toujours été très mobile dans les différents pays d’Europe où il avait déposé plusieurs demandes d’asile. En outre, ce risque était d’autant plus concret que le prévenu s’exposait désormais à une expulsion judiciaire, alors que son parcours et ses différentes demandes d’asile démontraient qu’il souhaitait échapper à son renvoi. Le Tribunal des mesures de contrainte a considéré qu’il n’existait aucune mesure de substitution permettant de pallier ce risque et que la durée de la détention avant jugement demeurait proportionnée au regard des infractions poursuivies et de la peine susceptible d’être prononcée, le prévenu étant renvoyé devant un tribunal correctionnel compétent pour connaître les infractions pour lesquelles la peine encourue paraissait devoir être supérieure à douze mois et inférieure ou égale à six ans. Le tribunal a également relevé que la jurisprudence tenait pour admissible un délai de quatre mois pour la tenue des débats une fois l’acte d’accusation rendu et cela même en l’absence de difficultés particulières de la cause. C. Par acte du 4 novembre 2024, Z.________, par l’intermédiaire de son défenseur, a recouru contre dite ordonnance, en concluant, avec</w:t>
      </w:r>
    </w:p>
    <w:p>
      <w:r>
        <w:t>- 6 - suite de frais et dépens, principalement à son annulation et à sa libération immédiate, subsidiairement à sa réforme en ce sens que la détention pour des motifs de sûreté soit ordonnée pour une durée d’un mois au plus. Il n’a pas été ordonné d’échange d’écritures. En d roit : 1. 1.1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dans le délai légal par un détenu qui a qualité pour recourir (art. 222 et 382 al. 1 CPP) et dans les formes prescrites (art. 385 al. 1 CPP), le recours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