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PE24.009303 vom 2. Oktober 2025</w:t>
      </w:r>
    </w:p>
    <w:p>
      <w:r>
        <w:t>VD Tribunal cantonal, 2025-10-02, FR</w:t>
      </w:r>
    </w:p>
    <w:p>
      <w:r>
        <w:rPr>
          <w:b/>
        </w:rPr>
        <w:t xml:space="preserve">Quelle: </w:t>
      </w:r>
      <w:r>
        <w:t>https://mcp.opencaselaw.ch/entscheid/vd_gerichte_PE24.009303</w:t>
      </w:r>
    </w:p>
    <w:p>
      <w:r>
        <w:t>FR: VD_GERICHTE PE24.009303 du 2 octobre 2025</w:t>
      </w:r>
    </w:p>
    <w:p>
      <w:r>
        <w:t>IT: VD_GERICHTE PE24.009303 del 2 ottobre 2025</w:t>
      </w:r>
    </w:p>
    <w:p>
      <w:pPr>
        <w:pStyle w:val="Heading2"/>
      </w:pPr>
      <w:r>
        <w:t>Erwägungen</w:t>
      </w:r>
    </w:p>
    <w:p>
      <w:r>
        <w:rPr>
          <w:b/>
        </w:rPr>
        <w:t>E. 3.1</w:t>
      </w:r>
    </w:p>
    <w:p>
      <w:r>
        <w:t>Dans un premier grief d’ordre formel, le recourant invoque une violation de son droit d’être entendu, au motif que la procureure n’aurait pas fourni de réponse à ses inquiétudes quant à la réparation du dommage subi et quant à l’identité de l’assureur chargé de sa prise en charge. Il fait valoir que la question de la réparation du dommage constituerait pourtant l’un des critères fondamentaux de l’application de l’art. 53 CP.</w:t>
      </w:r>
    </w:p>
    <w:p>
      <w:r>
        <w:rPr>
          <w:b/>
        </w:rPr>
        <w:t>E. 3.2</w:t>
      </w:r>
    </w:p>
    <w:p>
      <w:r>
        <w:t>Le droit d’être entendu garanti aux art. 29 al. 2 Cst. (Constitution fédérale de la Confédération suisse du 18 avril 1999 ; RS 101) et 3 al. 2 let. c CPP (cf. aussi art. 6 CEDH [Convention de sauvegarde des droits de l’homme et des libertés fondamentales du 4 novembre 1950 ; RS 0.101]) implique, pour l'autorité, l'obligation de motiver sa décision afin que le destinataire puisse la comprendre, de même que l'attaquer utilement s'il y a lieu, et afin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ATF 142 I 135 consid. 2.1 ; TF 7B_361/2024 du 15 avril 2024 consid. 2.2). Il n'est pas tenu de discuter tous les arguments soulevés par les parties, mais peut se limiter à l'examen des questions décisives pour l'issue du litige (ATF 147 IV 249 consid. 2.4 ; ATF 142 II 154 consid. 4.2 ; TF 7B_361/2024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précité ; TF 7B_361/2024 précité).</w:t>
      </w:r>
    </w:p>
    <w:p>
      <w:r>
        <w:t>- 10 -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Cela étant, une réparation de la violation du droit d'être entendu peut également se justifier, même en présence d'un vice grave, lorsque le renvoi constituerait une vaine formalité et aboutirait à un allongement inutile de la procédure, qui serait incompatible avec l'intérêt de la partie concernée à ce que sa cause soit tranchée dans un délai raisonnable (ATF 142 II 218 précité consid. 2.8.1 ; ATF 137 I 195 consid. 2.3.2 ; ATF 136 V 117 consid. 4.2.2.2). La Chambre des recours pénale dispose d’un pouvoir d’examen complet en fait et en droit, permettant de guérir un tel vice procédural (art. 391 al. 1 et 393 al. 2 CPP ; CREP 8 septembre 2025/650 ; CREP 10 février 2025/53 ; CREP 17 décembre 2024/868).</w:t>
      </w:r>
    </w:p>
    <w:p>
      <w:r>
        <w:rPr>
          <w:b/>
        </w:rPr>
        <w:t>E. 3.3</w:t>
      </w:r>
    </w:p>
    <w:p>
      <w:r>
        <w:t>En l’espèce, l’ordonnance entreprise retient que le prévenu a entièrement reconnu ses torts, admettant sa pleine et entière responsabilité dans l’accident survenu le 15 février 2024, et qu’il a par ailleurs rempli les exigences prévues dans la convention conclue lors de l’audience de conciliation, en transmettant à la direction de la procédure une attestation de son assurance responsabilité civile confirmant l’indemnisation du préjudice subi par le plaignant ensuite de l’événement du 15 février 2024. La procureure a précisé qu’elle considérait que les conditions d’octroi du sursis à l’exécution de la peine étaient remplies et que l’intérêt privé du plaignant à faire condamner le prévenu avait disparu, l’assurance ayant confirmé à deux reprises la prise en charge du</w:t>
      </w:r>
    </w:p>
    <w:p>
      <w:r>
        <w:t>- 11 - cas. Elle a encore ajouté qu’au regard des faits reprochés, du genre de la peine encourue ainsi que de la prise de conscience manifestée par le prévenu, l’intérêt public à la poursuite pénale se révélait également de faible importance. Ce faisant, le Ministère public a motivé la raison pour laquelle il a considéré que le prévenu avait satisfait à ses obligations sous l’angle de l’art. 53 CP. On ne discerne ainsi aucune violation du droit d’être entendu du recourant. A la lecture de l’acte de recours, il y a au demeurant lieu de constater que le recourant a été en mesure d’attaquer l’ordonnance litigieuse en connaissance de cause et de développer, devant l’autorité de céans qui dispose d'une pleine cognition en fait et en droit (cf. art. 393 al. 2 CPP ; ATF 141 IV 396 consid. 4.4), une argumentation afin de contester le raisonnement de la procureure. Le grief tiré de la violation du droit d’être entendu doit donc être rejeté.</w:t>
      </w:r>
    </w:p>
    <w:p>
      <w:r>
        <w:rPr>
          <w:b/>
        </w:rPr>
        <w:t>E. 4</w:t>
      </w:r>
    </w:p>
    <w:p>
      <w:r>
        <w:t>Dans un deuxième moyen, le recourant conteste la qualification de violation simple des règles de la circulation retenue par le Ministère public, faisant valoir que l’infraction devrait être requalifiée en violation grave des règles de la circulation, au motif que le prévenu aurait à tout le moins fait preuve d’une négligence grossière. Ce grief est irrecevable. L’ordonnance de classement objet du présent recours ne porte en effet que sur l’infraction de lésions corporelles simples et ne contient aucune motivation sur la violation des règles de la circulation routière, cette infraction ayant donné lieu à une ordonnance pénale rendue le 3 juin 2025 par le Ministère public de l’arrondissement de La Côte. Dès lors que cette question a déjà été tranchée au fond, la Chambre des recours pénale n’est donc pas compétente pour statuer sur le grief du recourant en tant qu’il conteste la qualification juridique retenue par le Ministère public dans l’ordonnance pénale précitée, la seule voie praticable en l’espèce pour la partie plaignante étant l’opposition, voie dont le recourant a au demeurant également fait usage.</w:t>
      </w:r>
    </w:p>
    <w:p>
      <w:r>
        <w:rPr>
          <w:b/>
        </w:rPr>
        <w:t>E. 5.1</w:t>
      </w:r>
    </w:p>
    <w:p>
      <w:r>
        <w:t>Le recourant reproche au Ministère public d’avoir abusé de son pouvoir d’appréciation et d’avoir rendu une décision inopportune. Il</w:t>
      </w:r>
    </w:p>
    <w:p>
      <w:r>
        <w:t>- 12 - soutient que le classement de la procédure irait à l’encontre de son intérêt à obtenir réparation en tant que victime, faisant valoir que le prévenu n’aurait pas réparé le dommage ni fourni de garantie d’indemnisation, et relevant que la SUVA aurait refusé d’entrer en matière sur les frais médicaux liés à l’accident. Il fait par ailleurs grief à la procureure d’avoir laissé les frais de la procédure à la charge de l’Etat, alors que l’application de l’art. 53 CP impliquerait qu’un acte illicite a été commis et que la mise à la charge de l’auteur des frais de procédure s’avèrerait donc en tous les cas justifiée.</w:t>
      </w:r>
    </w:p>
    <w:p>
      <w:r>
        <w:rPr>
          <w:b/>
        </w:rPr>
        <w:t>E. 5.2</w:t>
      </w:r>
    </w:p>
    <w:p>
      <w:r>
        <w:t>L’art. 319 al. 1 let. e CPP prévoit que le Ministère public peut renoncer à toute poursuite ou à toute sanction en vertu de dispositions légales. Cette disposition vise notamment le cas de l’art. 53 CP, qui prévoit, dans sa version en vigueur depuis le 1er juillet 2019 (RO 2019 p. 1809), que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 si l'intérêt public et l'intérêt du lésé à poursuivre l'auteur pénalement sont peu importants (let. b) et si l'auteur a admis les faits (let. c). Ces conditions sont cumulatives (TF 7B_801/2023 du 8 septembre 2025 consid. 2.2 et les références citées). Lorsque les conditions de l’art. 53 CP sont réunies, le Ministère public et les tribunaux rendent une ordonnance de non-entrée en matière ou de classement (cf. art. 8 al. 4 CPP). La renonciation à toute peine suppose donc, en premier lieu, que les conditions du sursis soient réalisées. En deuxième lieu, l'auteur doit avoir réparé le dommage ou accompli tous les efforts que l'on pouvait raisonnablement attendre de lui pour compenser le tort qu'il a causé. À cet égard, il doit démontrer par la réparation du dommage qu'il assume ses responsabilités et reconnaît notamment le caractère illicite ou du moins</w:t>
      </w:r>
    </w:p>
    <w:p>
      <w:r>
        <w:t>- 13 - incorrect de son acte (ATF 136 IV 41 consid. 1.2.1 ; TF 6B_394/2024 du 7 avril 2025 consid. 4.1 ; TF 6B_1350/2023 du 9 septembre 2024 consid. 1.1). Si l'auteur persiste à nier tout comportement incorrect, on doit admettre qu'il ne reconnaît pas, ni n'assume sa faute ; l'intérêt public à une condamnation l'emporte donc (TF 6B_394/2024 précité consid. 4.1 ; TF 6B_1350/2023 précité consid. 1.1 ; TF 6B_488/2022 du 11 octobre 2022 consid. 2).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Elle dispose à cet égard d'un large pouvoir d'appréciation (TF 6B_34/2012 du 4 juin 2012 consid. 1.2 et les références citées). Les efforts doivent être dans un rapport de proportionnalité avec la gravité de l’acte et ses conséquences (Dupuis et al. [éd.], Petit commentaire du Code pénal, 2e éd., Bâle 2017, n. 6 ad art. 53 CP). Par ailleurs, la réparation du dommage ne peut conduire à une exemption de peine que si l'intérêt public et celui du lésé à la poursuite pénale sont de peu d'importance. L’intérêt public est pris en compte en particulier dans les cas où aucun tiers n’est lésé (Dupuis et al. [éd.], op. cit., n. 12 ad art. 53 CP). Lorsque l'infraction lèse des intérêts privés et plus particulièrement un lésé, qui a accepté la réparation de l'auteur, l'intérêt à la poursuite pénale fait alors la plupart du temps défaut (ATF 135 IV 12 consid. 3.4.3 ; TF 6B_394/2024 précité consid. 4.1 ; TF 6B_1350/2023 précité consid. 1.1). En cas d'infraction contre des intérêts publics, il faut examiner si la réparation suffit ou si l'équité et le besoin de prévention exigent d'autres réactions du droit pénal (ATF 135 IV 12 précité consid. 3.4.3 ; TF 6B_394/2024 précité consid. 4.1 ; TF 6B_1350/2023 précité consid. 1.1). L’art. 53 CP suppose que l’auteur ait commis un acte illicite. Compte tenu de l’acte illicite nécessairement commis et en dépit duquel une non-entrée en matière ou un classement est prononcé, une mise des</w:t>
      </w:r>
    </w:p>
    <w:p>
      <w:r>
        <w:t>- 14 - frais à la charge du prévenu se justifie et ne viole pas la présomption d’innocence (ATF 144 IV 202 consid. 2).</w:t>
      </w:r>
    </w:p>
    <w:p>
      <w:r>
        <w:rPr>
          <w:b/>
        </w:rPr>
        <w:t>E. 5.3</w:t>
      </w:r>
    </w:p>
    <w:p>
      <w:r>
        <w:t>En l’espèce, le recourant ne conteste pas que les conditions du sursis sont réalisées et que le prévenu a reconnu sans ambiguïté les faits et sa responsabilité exclusive dans l’accident. Il n’est pas contesté non plus qu’il a – s’agissant d’une infraction routière – fourni des attestations de son assurance qui admettent sa responsabilité exclusive tout en réservant les règles de droit civil sur la responsabilité civile, notamment le lien de causalité. On peut ainsi admettre que, dans ce contexte, le prévenu a effectivement entrepris tous les efforts que l'on pouvait exiger de lui pour réparer le dommage. Le recourant fait valoir que le classement de la procédure irait à l’encontre de son intérêt à obtenir réparation en tant que victime. Il n’est pas nécessaire à ce stade d’examiner la question de savoir si les intérêts du recourant sont effectivement lésés en l’espèce. En effet, force est de constater que le Ministère public n’a pas renoncé à poursuivre le prévenu, puisque la procureure a rendu une ordonnance pénale le condamnant pour violation des règles de la circulation, invoquant implicitement un intérêt public à la poursuite pénale. Elle n’a écarté que l’infraction de lésions corporelles simples par négligence, pour compenser l’absence de retrait de plainte par le recourant. Partant, la condition du peu d’importance de l’intérêt public à la poursuite pénale de l'auteur n’est pas réalisée. C’est donc à tort que le Ministère public a retenu que les conditions d’application de l’art. 53 CP étaient réunies en l’espèce et qu’il a classé la procédure. Dans la mesure où la procureure entendait condamner le prévenu pour violation des règles de la circulation routière, il lui incombait également d’instruire la question des lésions corporelles. Le recours doit donc être admis sur ce point. L’ordonnance de classement devant être annulée, il n’y a pas lieu d’examiner les autres griefs invoqués par le recourant.</w:t>
      </w:r>
    </w:p>
    <w:p>
      <w:r>
        <w:rPr>
          <w:b/>
        </w:rPr>
        <w:t>E. 6</w:t>
      </w:r>
    </w:p>
    <w:p>
      <w:r>
        <w:t>- 15 -</w:t>
      </w:r>
    </w:p>
    <w:p>
      <w:r>
        <w:rPr>
          <w:b/>
        </w:rPr>
        <w:t>E. 6.1</w:t>
      </w:r>
    </w:p>
    <w:p>
      <w:r>
        <w:t>En définitive, le recours doit être admis dans la mesure où il est recevable et l’ordonnance entreprise annulée. Le dossier de la cause sera renvoyé au Ministère public de l’arrondissement de La Côte pour qu’il procède dans le sens des considérants.</w:t>
      </w:r>
    </w:p>
    <w:p>
      <w:r>
        <w:rPr>
          <w:b/>
        </w:rPr>
        <w:t>E. 6.2</w:t>
      </w:r>
    </w:p>
    <w:p>
      <w:r>
        <w:t>Vu le sort du recours, les frais de la procédure, constitués en l’espèce du seul émolument d'arrêt, par 1’540 fr. (art. 20 al. 1 TFIP [tarif des frais de procédure et indemnités en matière pénale du 28 septembre 2010 ; BLV 312.03.1]), seront laissés à la charge de l’Etat (art. 428 al. 4 CPP). Le montant de 770 fr. versé par le recourant à titre de sûretés lui sera par ailleurs restitué (art. 7 TFIP).</w:t>
      </w:r>
    </w:p>
    <w:p>
      <w:r>
        <w:rPr>
          <w:b/>
        </w:rPr>
        <w:t>E. 6.3</w:t>
      </w:r>
    </w:p>
    <w:p>
      <w:r>
        <w:t>Le recourant, qui a procédé avec l’assistance d’un conseil de choix et qui a obtenu gain de cause, a droit, de la part de l’Etat, à une indemnité pour les dépenses occasionnées par la procédure de recours (art. 433 al. 1 let. a CPP, applicable par renvoi de l’art. 436 al. 1 CPP). Il a conclu à l’allocation d’une indemnité correspondant à dix heures d’activité d’avocat au tarif horaire de 300 fr., sans détailler les opérations effectuées. Compte tenu de la nature de l’affaire et de l’acte de recours déposé, il n’y a pas lieu de s’écarter de la durée ainsi alléguée, qui paraît justifiée. L’indemnité sera ainsi fixée à 3’000 fr., correspondant à dix heures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60 fr., plus la TVA au taux de 8,1 %, par 247 fr. 85, soit à 3’308 fr. au total en chiffres arrondis.</w:t>
      </w:r>
    </w:p>
    <w:p>
      <w:r>
        <w:t>- 16 - Par ces motifs, la Chambre des recours pénale prononce : I. Le recours est admis dans la mesure où il est recevable. II. L’ordonnance du 26 mai 2025 est annulée. III. Le dossier de la cause est renvoyé au Ministère public de l’arrondissement de La Côte pour qu’il procède dans le sens des considérants. IV. Les frais d’arrêt, par 1’540 fr. (mille cinq cent quarante francs), sont laissés à la charge de l’Etat. V. Le montant de 770 fr. (sept cent septante francs) versé par V.________ à titre de sûretés lui est restitué. VI. Une indemnité de 3’308 fr. (trois mille trois cent huit francs) est allouée au recourant pour les dépenses occasionnées par la procédure de recours, à la charge de l’Etat. VII. L’arrêt est exécutoire. Le président : La greffière : Du Le présent arrêt, dont la rédaction a été approuvée à huis clos, est notifié, par l'envoi d'une copie complète, à : - Me Christine Raptis, avocate (pour V.________), - M. K.________, - Ministère public central, et communiqué à : - Mme la Procureure de l’arrondissement de La Côte,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