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PE24.009240 vom 4. November 2024</w:t>
      </w:r>
    </w:p>
    <w:p>
      <w:r>
        <w:t>VD Tribunal cantonal, 2024-11-04, FR</w:t>
      </w:r>
    </w:p>
    <w:p>
      <w:r>
        <w:rPr>
          <w:b/>
        </w:rPr>
        <w:t xml:space="preserve">Quelle: </w:t>
      </w:r>
      <w:r>
        <w:t>https://mcp.opencaselaw.ch/entscheid/vd_gerichte_PE24.009240</w:t>
      </w:r>
    </w:p>
    <w:p>
      <w:r>
        <w:t>FR: VD_GERICHTE PE24.009240 du 4 novembre 2024</w:t>
      </w:r>
    </w:p>
    <w:p>
      <w:r>
        <w:t>IT: VD_GERICHTE PE24.009240 del 4 novembre 2024</w:t>
      </w:r>
    </w:p>
    <w:p>
      <w:pPr>
        <w:pStyle w:val="Heading2"/>
      </w:pPr>
      <w:r>
        <w:t>Erwägungen</w:t>
      </w:r>
    </w:p>
    <w:p>
      <w:r>
        <w:rPr>
          <w:b/>
        </w:rPr>
        <w:t>E. 6</w:t>
      </w:r>
    </w:p>
    <w:p>
      <w:r>
        <w:t>juin 2024 par le Ministère public, a demandé au procureur de bien vouloir annuler son ordonnance du 6 juin 2024 et entrer en matière sur la plainte pénale déposée par T.B.________, ainsi que sur la demande d’assistance judiciaire y relative, aux fins d’éviter le dépôt d’un recours, respectivement le dépôt d’une nouvelle plainte pour les mêmes infractions qui se poursuivaient d’office. Il a précisé que lorsqu’il avait transmis les précisions demandées, il n’avait pas encore connaissance du refus de la prolongation de délai, ce dont il fallait tenir compte. En outre, lorsque l’ordonnance du 6 juin 2024 avait été rendue, le procureur avait en sa possession les précisions demandées, ce qu’il ne pouvait ignorer. c) Le 13 juin 2024, le Ministère public a informé Me Raphaël Tatti que son courrier du 5 juin 2024 était parvenu au greffe le lendemain et qu’il n’en avait eu connaissance que le 7 juin 2024. Au moment de la notification de l’ordonnance de non-entrée en matière, il n’avait donc pas connaissance du contenu de ce courrier, qui avait été déposé hors délai. Dans la mesure où cette ordonnance avait été notifiée, il n’y avait guère d’autre manière de la contester que par le dépôt d’un recours. C. Par acte daté du 16 juin 2024 et déposé le 17 juin 2024, T.B.________, agissant seule, a recouru contre l’ordonnance de non-entrée en matière du 6 juin 2024. Par acte daté du 17 juin 2024 et déposé le même jour, T.B.________, par son conseil de choix, a recouru auprès de la Chambre des recours pénale contre l’ordonnance de non-entrée en matière du 6 juin 2024, en concluant, avec suite de frais et dépens, préalablement, à la désignation de Me Raphaël Tatti en qualité de conseil d’office pour la procédure de recours et, principalement, à la réforme de l’ordonnance attaquée en ce sens qu’il soit entré en matière sur ses plaintes pénales des 1er et 4 avril 2024 et que Me Raphaël Tatti soit désigné en qualité de conseil d’office dans la cadre de la présente affaire pénale. Subsidiairement, elle a conclu à l’annulation de l’ordonnance attaquée, le</w:t>
      </w:r>
    </w:p>
    <w:p>
      <w:r>
        <w:t>- 7 - dossier de la cause étant renvoyé au Ministère public pour nouvelle décision dans le sens des considérants à intervenir. Par avis du 24 juin 2024, la direction de la procédure a imparti à la recourante un délai au 15 juillet 2024 pour effectuer un dépôt de 770 fr. à titre de sûretés. Le 15 juillet 2024, T.B.________ a sollicité une prolongation d’un mois du délai fixé pour effectuer l’avance de frais de 770 fr., exposant qu’elle n’avait pas les moyens pour effectuer cette avance et qu’elle devait donc faire le nécessaire pour réunir la somme en question. Elle a également réitéré sa requête d’assistance judiciaire. Par avis du 22 juillet 2024, le Président de la Chambre de céans a dispensé T.B.________ du versement des sûretés, au vu de sa situation financière, précisant qu’une décision sur l’octroi de l’assistance judiciaire pour les frais de procédure serait rendue ultérieurement s’il y avait lieu. Par acte du 8 octobre 2024, le Ministère public a indiqué qu’il n’entendait pas déposer de déterminations.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w:t>
      </w:r>
    </w:p>
    <w:p>
      <w:r>
        <w:t>- 8 -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sont contestés (Bähler, in : Niggli/Heer/ Wiprächtiger [éd.], Basler Kommentar Schweizerische Strafprozessordnung Jugendstrafprozessordnung, 3e éd., Bâle 2023 [ci-après : Basler Kommentar], n. 2 ad art. 385 CPP). Il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7B_355/2023 du 30 juillet 2024 consid. 2.2.1 ; TF 6B_1447/2022 du 14 mars 2023 consid. 1.1 et les références citées ; Guidon, in : Basler Kommentar, op. cit., n. 9c ad art. 396 CPP et les références citées ; Keller, in : Donatsch/Lieber/Summers/Wohlers [éd.], Zürcher Kommentar, Kommentar zur Schweizerischen Strafprozessordnung, 3e éd., Zurich/Bâle/Genève 2020, n. 14 ad art. 396 CPP et les références citées ; Calame, in : Jeanneret et al. [éd.], Commentaire romand, Code de procédure pénale suisse, 2e éd., Bâle</w:t>
      </w:r>
    </w:p>
    <w:p>
      <w:r>
        <w:t>- 9 - 2019, n. 21 ad art. 385 CPP).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7B_355/2023 précité consid. 2.2.1 ; TF 6B_1447/2022 précité). 1.3 Dans son acte de recours daté du 16 juin 2024, T.B.________, qui adresse des reproches à son avocat, n’expose aucun motif factuel ou juridique permettant de comprendre en quoi l’ordonnance attaquée serait erronée. Cet acte ne satisfait dès lors pas aux exigences de motivation de l’art. 385 al. 1 CPP et, partant, est irrecevable. En revanche, interjeté en temps utile devant l’autorité compétente, par une partie qui a qualité pour recourir (art. 382 al. 1 CPP) et dans les formes prescrites (art. 385 al. 1 CPP), l’acte de recours daté du 17 juin 2024 est recevable. 2. 2.1 Dans son acte de recours du 17 juin déposé par son avocat de choix, la recourante, après avoir énuméré et détaillé les courriers échangés avec le Ministère public, fait valoir que l’expression « ultime délai » serait inconnue du Code de procédure pénale et que le délai fixé au 31 mai 2024 pouvait être prolongé à nouveau, au moins pour le court laps de temps d’une semaine sollicité par lettre du 31 mai 2024. Dans la mesure où la recourante aurait adressé le 5 juin 2024 un courrier complétant la plainte, il aurait incombé au Ministère public de prendre cet acte en considération. La recourante se plaint ainsi d’un formalisme excessif. 2.2 Selon l’art. 92 CPP, les autorités peuvent prolonger les délais ou ajourner les termes qu’elles ont fixés, d’office ou sur demande. La demande doit être présentée avant l’expiration des délais et être suffisamment motivée. Si elle n’est pas motivée, elle devra être déclarée irrecevable. Si elle est motivée, il appartiendra à l’autorité d’apprécier si</w:t>
      </w:r>
    </w:p>
    <w:p>
      <w:r>
        <w:t>- 10 - les circonstances évoquées justifient une prolongation de délai ou un ajournement du terme. L’autorité dispose à cet égard d’un libre pouvoir d’appréciation, limité uniquement par l’arbitraire. Ainsi, l’art. 92 CPP ne confère pas à la partie un droit absolu à la prolongation du délai ou à l’ajournement d’un terme même s’il s’agit d’une première demande (Stoll, in : Jeanneret/Kuhn/Perrier Depeursinge [éd.], Commentaire romand, Code de procédure pénale suisse, 2e éd., Bâle 2019, n. 6 ad art. 95 CPP). Les conditions pour obtenir une prolongation ou un ajournement sont cependant moins strictes que celles prévues pour obtenir la restitution d’un délai selon l’art. 94 CPP. Il n’est notamment pas nécessaire d’établir que la partie est empêchée d’agir dans le délai sans sa faute (Stoll, op. cit., n. 7 ad art. 92 CPP). Pour prendre sa décision, l’autorité doit peser l’ensemble des intérêts en présence, une réserve particulière s’imposant lorsque le prévenu est placé en détention (cf. art. 5 al. 2 CPP) ou que l’on s’approche de la prescription de l’action pénale. En revanche, lorsque la procédure n’est pas particulièrement urgente, il suffira que le requérant fasse valoir, à l’appui d’une première demande de prolongation de délai, des motifs plausibles pour lesquels il n’est pas en mesure de respecter le délai (Riedo, in : Niggli/Heer/Wiprächtiger (éd.), Basler Kommentar, Schweizerische Strafprozessordnung, Jugendstrafprozessordnung, 3e éd., Bâle 2023, n. 23 et 24 ad art. 92 CPP ; StolI, op. cit., n. 7 ad art. 92 CPP). Sont plausibles, selon la jurisprudence, les raisons qui, selon l’expérience générale de la vie, apparaissent propres à empêcher le déroulement de la procédure conformément aux délais prévus. Parmi celles-ci figurent la maladie, l’hospitalisation, le décès, le service militaire, l’emprisonnement, mais aussi la surcharge de travail et le séjour à l’étranger (TF 6B_229/2015 du 30 avril 2015 consid. 1.1 et les références citées ; Riedo, op. cit., n. 24 ad art. 92 CPP et les références citées; Stoll, op. cit., n. 7 ad art. 92 CPP). En cas de demandes réitérées de prolongation de délai, il convient de se montrer plus strict que lors d’une première demande de prolongation. Ainsi, au regard du principe de célérité (art. 5 CPP), une</w:t>
      </w:r>
    </w:p>
    <w:p>
      <w:r>
        <w:t>- 11 - nouvelle prolongation de délai ne pourra en règle générale pas être accordée pour le seul motif que le défenseur est surchargé (Riedo, op. cit., n. 25 ad art. 92 CPP). Cela étant, il apparaît souhaitable, pour des motifs de clarté, que l’autorité qui accorde une prolongation de délai indique qu’il s’agit d’une unique, respectivement de l’ultime prolongation. Dans ce cas, une nouvelle demande de prolongation ne sera acceptée qu’en cas d’urgence (Riedo, op. cit., n. 26 ad art. 92 CPP ; Stoll, op. cit., n. 7 ad art. 92 CPP ; TF 5A_812/2010 du 3 août 2011 consid. 2.1 ; TF 6P.115/2006- 6S.241/2006 du 17 août 2006 consid. 1). En principe, si l’autorité a indiqué clairement qu’il n’y aurait pas de prolongation (supplémentaire), compte tenu de l’urgence et des circonstances du cas d’espèce, la partie et son mandataire doivent veiller à agir dans le délai fixé. L'autorité veillera à écarter les demandes de prolongation dilatoires ou à caractère abusif (Moreillon/Parein-Reymond, Petit Commentaire du Code de procédure pénale, 2e éd., Bâle 2016, n. 4 ad art. 92 CPP et les références citées). 2.3 En l’espèce, la recourante a bénéficié de beaucoup de temps pour fournir les précisions requises. A cet égard, on rappellera que la plainte a été déposée le 1er avril 2024, puis complétée le 4 avril 2024, et qu’à réception de celle-ci, le procureur a immédiatement, soit le 9 avril 2024, demandé à la recourante d’exposer clairement les faits qui lui paraissaient constitutifs d’infractions à son égard et de préciser où et quand ces faits avaient eu lieu, le cas échéant, en fournissant toutes pièces utiles. Il lui a imparti un délai au 24 avril 2024 à cet effet. A la demande de la recourante, le procureur a accepté de prolonger le délai imparti à deux reprises, en dernier lieu jusqu’au 31 mai 2024. A ce moment, il a attiré l’attention de la recourante sur le fait qu’il s’agissait d’une ultime prolongation. Partant, le procureur n’avait pas à accorder un bref délai de grâce à la recourante pour procéder avant la reddition de l’ordonnance attaquée. Le recours doit donc être rejeté sur ce point. Cela étant, le vice formel invoqué par la recourante est sans conséquence. En effet, dans son complément de plainte du 5 juin 2024, la recourante invoque des faits nouveaux. Elle expose, pièces à l’appui (P. 15/1 et 15/2), que son époux a imité sa signature sur différents documents</w:t>
      </w:r>
    </w:p>
    <w:p>
      <w:r>
        <w:t>- 12 - de la Generali Assurances portant sur des prêts consentis par cette compagnie, ainsi que sur une procuration portant sur un remboursement de cotisations AI. En l’état, ces allégations semblent crédibles et la comparaison de la signature figurant sur la plainte du 1er avril 2024 (P. 6/1) avec celles apposées sur les « Contrat(s) de prêt et nantissement » et les décomptes contresignés les 16 et 26 février 2018, 4 juin 2020, 9 mai 2022 et 29 juin 2023, ainsi que sur la procuration du 8 décembre 2023, révèle que les paraphes sont bel et bien différents. Ces faits ne sont toutefois pas retenus dans l’ordonnance de non-entrée en matière, dès lors qu’au moment de rendre son ordonnance, le procureur n’en avait pas connaissance. Autrement dit, l’ordonnance attaquée ne contient pas une non-entrée en matière implicite sur le complexe de faits précité. Il n’y a donc pas lieu d’annuler l’ordonnance attaquée pour ce motif. Cela étant, s’ils étaient avérés, les faits précités pourraient être constitutifs de faux dans les titres au sens de l’art. 251 CP, infraction poursuivie d’office. Le Ministère public ne peut donc pas ignorer ces faits, qui devront être instruits sur la base du complément de plainte déposé le 5 juin 2024. Le dossier de la cause lui sera donc renvoyé pour qu’il procède dans ce sens. Pour le surplus, soit en ce qui concerne les violences physiques qui auraient eu lieu au CHUV, la Chambre de céans dispose d’un large pouvoir d’examen en fait et en droit, qui lui permet de prendre en compte les courriers de la recourante postérieurs à l’ordonnance attaquée, ainsi que les nouveaux moyens factuels et juridiques contenus dans le mémoire de recours (cf. infra consid. 4). 3. La recourante, en se fondant sur l’infraction de faux dans les titres, qui se poursuit d’office, soutient que sa plainte du 1er avril 2024, complétée le 4 avril 2024, ne serait pas tardive. Or, comme déjà mentionné ci-dessus, les faits susceptibles de constituer une infraction de faux dans les titres ne ressortent pas de la plainte précitée, mais du complément de plainte du 5 juin 2024, et ne sont donc pas concernés par l’ordonnance attaquée. Pour le surplus, la recourante ne conteste pas que le fait pour son mari d’avoir prélevé sans droit sur son compte épargne de l’argent constituerait une utilisation frauduleuse d’un ordinateur commise au préjudice des proches et des familiers au sens de l’art. 147 al. 3 CP,</w:t>
      </w:r>
    </w:p>
    <w:p>
      <w:r>
        <w:t>- 13 - infraction ne se poursuivant que sur plainte, ni qu’elle aurait eu connaissance de ces faits depuis déjà de nombreux mois, voire des années. Par conséquent, à l’instar du Ministère public, il y a lieu de considérer que la plainte du 1er avril 2024, complétée le 4 avril 2024, n’a pas été déposée dans un délai de trois mois à compter de la connaissance de l’auteur (art. 31 CP) et qu’elle est dès lors tardive. Le recours doit donc être rejeté sur ce point. 4. 4.1 Concernant l’infraction de voies de fait faisant l’objet du complément de plainte du 4 avril 2024, la recourante soutient que les simples dénégations de son époux ne seraient pas suffisantes pour justifier une non-entrée en matière, dès lors qu’elle devrait être entendue, de même que les éventuels témoins de la scène, qui s’était déroulée dans un hôpital. 4.2 4.2.1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 in dubio pro duriore ».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w:t>
      </w:r>
    </w:p>
    <w:p>
      <w:r>
        <w:t>- 14 - en cas de doute s'agissant de la situation factuelle ou juridique, ce n'est pas à l'autorité d'instruction ou d'accusation mais au juge matériellement compétent qu'il appartient de trancher (ATF 143 IV 241 consid. 2.2.1; 138 IV 86 consid. 4.1.2 et les références citées ; TF 7B_115/2023 du 12 juillet 2024 consid. 4.1).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références citées ; TF 7B_630/2023 du 20 août 2024 consid. 3.2.1 ; TF 7B_5/2022 du 12 octobre 2023 consid. 4.1).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TF 7B_630/2023 précité consid. 3.2.1 ; TF 6B_1148/2021 du 23 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7B_630/2023 précité consid. 3.2.1 ; TF 7B_5/2022 précité consid. 4.1 ; TF 6B_1148/2021 précité consid. 3.1 ; TF 6B_790/2022 du 15 juin 2023 consid. 4.2.2 ; TF 6B_996/2021 du 31 mai 2022 consid. 3.2). 4.2.2 Le droit d'être entendu, tel qu'il est garanti par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w:t>
      </w:r>
    </w:p>
    <w:p>
      <w:r>
        <w:t>- 15 - sur son résultat lorsque cela est de nature à influer sur la décision à rendre (ATF 145 I 73 consid. 7.2.2.1).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 TF 6B_290/2020 du 17 juillet 2020 consid. 2.2 et les réf.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consid. 7.2.2 ; TF 6B_1014/2020 du 10 février 2021 consid. 2.1.2 ; TF 6B_290/2020 précité consid. 7.2.2 et les réf.). 4.3 En l’espèce, conformément à la jurisprudence susmentionnée, le Ministère public pouvait statuer sans procéder à l’audition de la recourante. Celle-ci a pu exercer son droit d’être entendue au moyen du recours et a donc eu la possibilité de compléter sa plainte et de présenter ou de requérir des moyens de preuve complémentaires. Cela étant, dans son recours, la recourante n’expose pas le déroulement précis des faits, se contentant de reprocher au Ministère public de ne pas l’avoir entendue et de ne pas avoir interrogé d’éventuels témoins, indiquant à cet égard uniquement que « l’intervention d’un tiers est fort probable », sans désigner, même sommairement, les personnes présentes. C’est insuffisant au stade du recours.</w:t>
      </w:r>
    </w:p>
    <w:p>
      <w:r>
        <w:t>- 16 - Dans ces conditions, il convient de constater, à l’instar du Ministère public, qu’il n’est pas possible d’apprécier la version de la recourante ou celle de son époux, qui conteste les faits qui lui sont reprochés, comme étant plus ou moins plausible. Le recours doit donc être rejeté sur ce point également. 5. Au vu de l’ensemble des considérants qui précèdent, c’est à bon droit que le Ministère public a refusé d’entrer en matière sur la plainte déposée par la recourante le 1er avril 2024, complétée le 4 avril 2024.</w:t>
      </w:r>
    </w:p>
    <w:p>
      <w:r>
        <w:rPr>
          <w:b/>
        </w:rPr>
        <w:t>E. 6.1</w:t>
      </w:r>
    </w:p>
    <w:p>
      <w:r>
        <w:t>La recourante reproche au Ministère public de ne pas lui avoir accordé l’assistance judiciaire.</w:t>
      </w:r>
    </w:p>
    <w:p>
      <w:r>
        <w:rPr>
          <w:b/>
        </w:rPr>
        <w:t>E. 6.2</w:t>
      </w:r>
    </w:p>
    <w:p>
      <w:r>
        <w:t>A teneur de l'art. 29 al. 3 Cst.,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1B_317/2021 du 9 décembre 2021 ; TF 1B_119/2021 du 22 juillet 2021 consid. 2.1). Dans son ancienne teneur, en vigueur jusqu’au 31 décembre 2023, l’art. 136 al. 1 aCPP prévoyait que la direction de la procédure accordait entièrement ou partiellement l'assistance judiciaire à la partie plaignante indigente pour lui permettre de faire valoir ses prétentions civiles si l'action civile ne paraissait pas vouée à l'échec. La nouvelle teneur de cette disposition permet également d’octroyer l’assistance judiciaire à la victime, pour lui permettre de faire aboutir sa plainte pénale, si elle ne dispose pas de ressources suffisantes et que l’action pénale ne paraît pas vouée à l’échec (art. 136 al. 1 let. b CPP).</w:t>
      </w:r>
    </w:p>
    <w:p>
      <w:r>
        <w:rPr>
          <w:b/>
        </w:rPr>
        <w:t>E. 6.3</w:t>
      </w:r>
    </w:p>
    <w:p>
      <w:r>
        <w:t>En l’espèce, l’ordonnance attaquée étant confirmée, il n’y a pas matière à mettre la recourante au bénéfice de l’assistance judiciaire gratuite en lien avec la plainte qu’elle a déposée le 1er avril 2024 et</w:t>
      </w:r>
    </w:p>
    <w:p>
      <w:r>
        <w:t>- 17 - complétée le 4 avril 2024, l’action civile étant à cet égard vouée à l’échec. Il appartiendra à la recourante, le cas échéant, de réitérer sa requête devant le Ministère public pour faire aboutir sa plainte du 5 juin 2024 relative à l’infraction de faux dans les titres.</w:t>
      </w:r>
    </w:p>
    <w:p>
      <w:r>
        <w:rPr>
          <w:b/>
        </w:rPr>
        <w:t>E. 7</w:t>
      </w:r>
    </w:p>
    <w:p>
      <w:r>
        <w:t>En définitive, le recours doit être rejeté dans la mesure où il est recevable et l’ordonnance attaquée confirmée. Le dossier de la cause sera renvoyé au Ministère public pour qu’il procède dans le sens des considérants (cf. consid. 2.3). La requête tendant à l’octroi de l’assistance judiciaire gratuite pour la procédure de recours doit être rejetée, dès lors que le recours était d’emblée dénué de toute chance de succès (art. 136 al. 1 CPP). Les frais de la procédure, constitués en l’espèce de l’émolument d’arrêt, par 1’650 fr. (art. 20 al. 1 TFIP), seront mis à la charge de T.B.________, qui succombe (art. 428 al. 1 CPP). Par ces motifs, la Chambre des recours pénale prononce : I. Le recours est rejeté dans la mesure où il est recevable. II. L’ordonnance du 6 juin 2024 est confirmée. III. Le dossier de la cause est renvoyé au Ministère public de l’arrondissement de Lausanne pour qu’il procède dans le sens des considérants. IV. La requête d’assistance judiciaire est rejetée. V. Les frais d’arrêt, par 1'650 fr. (mille six cent cinquante francs), sont mis à la charge de T.B.________. VI. L’arrêt est exécutoire Le président : La greffière :</w:t>
      </w:r>
    </w:p>
    <w:p>
      <w:r>
        <w:t>- 18 - Du Le présent arrêt, dont la rédaction a été approuvée à huis clos, est notifié, par l'envoi d'une copie complète, à : - Me Raphaël Tatti, avocat (pour T.B.________), - Ministère public central ; et communiqué à : - M. le Procureur de l’arrondissement de Lausanne, - Me Fabien Mingard, avocat (pour G.B.________),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