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PE24.008977 vom 10. Oktober 2024</w:t>
      </w:r>
    </w:p>
    <w:p>
      <w:r>
        <w:t>VD Tribunal cantonal, 2024-10-10, FR</w:t>
      </w:r>
    </w:p>
    <w:p>
      <w:r>
        <w:rPr>
          <w:b/>
        </w:rPr>
        <w:t xml:space="preserve">Quelle: </w:t>
      </w:r>
      <w:r>
        <w:t>https://mcp.opencaselaw.ch/entscheid/vd_gerichte_PE24.008977</w:t>
      </w:r>
    </w:p>
    <w:p>
      <w:r>
        <w:t>FR: VD_GERICHTE PE24.008977 du 10 octobre 2024</w:t>
      </w:r>
    </w:p>
    <w:p>
      <w:r>
        <w:t>IT: VD_GERICHTE PE24.008977 del 10 ottobre 2024</w:t>
      </w:r>
    </w:p>
    <w:p>
      <w:pPr>
        <w:pStyle w:val="Heading2"/>
      </w:pPr>
      <w:r>
        <w:t>Erwägungen</w:t>
      </w:r>
    </w:p>
    <w:p>
      <w:r>
        <w:rPr>
          <w:b/>
        </w:rPr>
        <w:t>E. 3.1</w:t>
      </w:r>
    </w:p>
    <w:p>
      <w:r>
        <w:t>Comme dans sa plainte, le recourant soutient que les parcelles acquises par Q.________ SA l’auraient été à un prix extraordinairement plus bas que ce qui aurait été préalablement proposé par deux acheteurs potentiels. Il considère avoir réellement été menacé dans sa liberté d’action par A.M.________. Il invoque à réitérées reprises que les courriers lus par le Préposé de l’office des poursuites, qui n’auraient pas dû être lus et dont le contenu serait erroné, auraient eu plus de poids que sa réponse auprès des enchérisseurs. Il estime qu’il y aurait eu des pressions psychologiques équivalentes à de la contrainte. Le recourant invoque encore que l’empêchement de renouveler la concession de port – ce qui aurait retardé la vente de la parcelle n° [...] – aurait été une manière de réaliser la contrainte. Il relève en général que le Ministère public n’aurait pas suffisamment instruit la cause et aurait dû procéder à des auditions supplémentaires.</w:t>
      </w:r>
    </w:p>
    <w:p>
      <w:r>
        <w:rPr>
          <w:b/>
        </w:rPr>
        <w:t>E. 3.2.1</w:t>
      </w:r>
    </w:p>
    <w:p>
      <w:r>
        <w:t>Selon l'art. 310 al. 1 CPP, le ministère public rend immédiatement une ordonnance de non-entrée en matière s'il ressort de la dénonciation ou du rapport de police que les éléments constitutifs de</w:t>
      </w:r>
    </w:p>
    <w:p>
      <w:r>
        <w:t>- 7 -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w:t>
      </w:r>
    </w:p>
    <w:p>
      <w:r>
        <w:rPr>
          <w:b/>
        </w:rPr>
        <w:t>E. 3.2.2</w:t>
      </w:r>
    </w:p>
    <w:p>
      <w:r>
        <w:t>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Il peut y avoir contrainte lorsque l'auteur entrave sa victime « de quelque autre manière » dans sa liberté d'action. Cette formule générale doit être interprétée de manière restrictive. N'importe quelle pression de peu d'importance ne suffit pas. Il faut que le moyen de</w:t>
      </w:r>
    </w:p>
    <w:p>
      <w:r>
        <w:t>- 8 -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L'intensité requise par l'art. 181 CP peut résulter du cumul de comportements divers ou de la répétition de comportements identiques sur une durée prolongée (cf. ATF 141 IV 437 consid. 3.2.2 ; TF 6B_1428/2016 du 3 octobre 2017 consid. 3.1).</w:t>
      </w:r>
    </w:p>
    <w:p>
      <w:r>
        <w:rPr>
          <w:b/>
        </w:rPr>
        <w:t>E. 3.3</w:t>
      </w:r>
    </w:p>
    <w:p>
      <w:r>
        <w:t>En l’occurrence, il y a tout d’abord lieu de relever que ce ne sont ni A.M.________, ni son mandataire qui ont donné connaissance aux enchérisseurs du litige qui divisait les parties, mais le Préposé de l’office des poursuites, lequel a également fait part des déterminations du recourant. A suivre le raisonnement de celui-ci, l’auteur d’une éventuelle contrainte devrait donc plutôt être le préposé. Or, il était bien du devoir de l’office des poursuites de renseigner les potentiels acquéreurs des conflits liés aux immeubles, conflits qui pouvaient avoir une incidence sur la valeur de ceux-ci. Il importe dès lors peu de savoir si la position de A.M.________ avait plus de poids que celle du recourant auprès des enchérisseurs. Ces éléments ne sont en aucune manière constitutifs de contrainte sous l’angle de l’art. 181 CP. Ensuite, si des enchérisseurs ont effectivement été dissuadés d’acheter les immeubles, ce sont eux qui auraient été les victimes d’une prétendue contrainte, et non le recourant. On ne voit ainsi pas en quoi l’infraction de contrainte serait réalisée. En ce qui concerne l’opposition au renouvellement de la concession de port, le recourant n’explique pas en quoi l’appréciation du procureur, quant à la prescription de la plainte à cet égard, serait erronée. Il n’y a dès lors pas lieu d’entrer en matière sur ce point. Par surabondance, le recourant n’explique pas en quoi le fait de s’opposer à une concession de port serait de la contrainte, et même si tel était le cas, la personne obligée à ne pas faire un acte aurait été le potentiel acheteur, le recourant n’étant touché que de manière indirecte.</w:t>
      </w:r>
    </w:p>
    <w:p>
      <w:r>
        <w:t>- 9 - Par conséquent, c’est à juste titre que le Ministère public a refusé d’entrer en matière sur la plainte du recourant. Des mesures d’instructions supplémentaires, telles que des auditions notamment, n’auraient rien changé à cette appréciation. En effet, comme le souligne le procureur, l’affaire relève davantage du droit privé, voire du droit des poursuites, que du droit pénal.</w:t>
      </w:r>
    </w:p>
    <w:p>
      <w:r>
        <w:rPr>
          <w:b/>
        </w:rPr>
        <w:t>E. 4</w:t>
      </w:r>
    </w:p>
    <w:p>
      <w:r>
        <w:t>En définitive, le recours, manifestement mal fondé, doit être rejeté, dans la mesure où il est recevable, sans échange d’écritures (art. 390 al. 2 CPP), et l’ordonnance entreprise confirmée. Les frais de procédure, constitués en l’espèce de l’émolument d’arrêt, par 990 fr. (art. 20 al. 1 TFIP [Tarif des frais de procédure et indemnités en matière pénale du 28 septembre 2010 ; RSV 312.03.1]), seront mis à la charge du recourant, qui succombe (art. 428 al. 1 CPP). Le montant de 770 fr. déjà versé par le recourant à titre de sûretés sera imputé sur ces frais (art. 383 al. 1 CPP ; art. 7 TFIP). Par ces motifs, la Chambre des recours pénale prononce : I. Le recours est rejeté dans la mesure où il est recevable. II. L’ordonnance du 26 juin 2024 est confirmée. III. Les frais d’arrêt, par 990 fr. (huit cent huitante francs), sont mis à la charge de D.________. IV. L’avance de frais de 770 fr. (sept cent septante francs) versée par le recourant est imputée sur les frais mis à sa charge au chiffre III ci-dessus, le solde dû par le recourant à l’Etat s’élevant à 220 fr. (deux cent vingt francs). V. L’arrêt est exécutoire. Le président : Le greffier :</w:t>
      </w:r>
    </w:p>
    <w:p>
      <w:r>
        <w:t>- 10 - Du Le présent arrêt, dont la rédaction a été approuvée à huis clos, est notifié, par l'envoi d'une copie complète, à : - Me Frédéric Hainard, avocat (pour D.________),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