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PE24.008739 vom 21. Oktober 2025</w:t>
      </w:r>
    </w:p>
    <w:p>
      <w:r>
        <w:t>VD Tribunal cantonal, 2025-10-21, FR</w:t>
      </w:r>
    </w:p>
    <w:p>
      <w:r>
        <w:rPr>
          <w:b/>
        </w:rPr>
        <w:t xml:space="preserve">Quelle: </w:t>
      </w:r>
      <w:r>
        <w:t>https://mcp.opencaselaw.ch/entscheid/vd_gerichte_PE24.008739</w:t>
      </w:r>
    </w:p>
    <w:p>
      <w:r>
        <w:t>FR: VD_GERICHTE PE24.008739 du 21 octobre 2025</w:t>
      </w:r>
    </w:p>
    <w:p>
      <w:r>
        <w:t>IT: VD_GERICHTE PE24.008739 del 21 ottobre 2025</w:t>
      </w:r>
    </w:p>
    <w:p>
      <w:pPr>
        <w:pStyle w:val="Heading2"/>
      </w:pPr>
      <w:r>
        <w:t>Erwägungen</w:t>
      </w:r>
    </w:p>
    <w:p>
      <w:r>
        <w:rPr>
          <w:b/>
        </w:rPr>
        <w:t>E. 4</w:t>
      </w:r>
    </w:p>
    <w:p>
      <w:r>
        <w:t>Le recourant s’en prend au procureur, lui reprochant une partialité, notamment sous forme d’intimidation à son encontre, de favoritisme à l’égard de ses parties adverses, de favorisation des intérêts de la société N.________ SA, présentée comme proche des prévenus, et d’appartenance à un système vaudois « mafieux ». Ces griefs ont été formulés par Y.________ également à l’appui de sa deuxième demande de récusation déposée à l’encontre du Procureur B.________, laquelle fait l’objet d’une procédure séparée devant la Chambre de céans. Ils sont toutefois irrecevables dans le cadre du présent recours.</w:t>
      </w:r>
    </w:p>
    <w:p>
      <w:r>
        <w:rPr>
          <w:b/>
        </w:rPr>
        <w:t>E. 5</w:t>
      </w:r>
    </w:p>
    <w:p>
      <w:r>
        <w:t>Enfin, il n’y a pas lieu d’entrer en matière sur l’indemnité réclamée par le recourant, dès lors qu’il succombe (art. 433 al. 1 let. a a contrario CPP).</w:t>
      </w:r>
    </w:p>
    <w:p>
      <w:r>
        <w:t>- 15 -</w:t>
      </w:r>
    </w:p>
    <w:p>
      <w:r>
        <w:rPr>
          <w:b/>
        </w:rPr>
        <w:t>E. 6</w:t>
      </w:r>
    </w:p>
    <w:p>
      <w:r>
        <w:t>En définitive, le recours, manifestement mal fondé, doit être rejeté sans échange d’écritures (art. 390 al. 2 CPP), dans la mesure où il est recevable, et l’ordonnance attaquée confirmée. Les frais de la procédure de recours, constitués en l’espèce de l’émolument d’arrêt, par 1’430 fr. (art. 20 al. 1 TFIP), seront mis à la charge de Y.________ qui succombe (art. 428 al. 1 CPP). Par ces motifs, la Chambre des recours pénale prononce : I. Le recours est rejeté dans la mesure où il est recevable. II. L’ordonnance du 26 mars 2025 est confirmée. III. Les frais d’arrêt, par 1'430 fr. (mille quatre cent trente francs), sont mis à la charge de Y.________. IV. L’arrêt est exécutoire. Le président : Le greffier : Du Le présent arrêt, dont la rédaction a été approuvée à huis clos, est notifié, par l'envoi d'une copie complète, à : - M. Y.________, - Ministère public central,</w:t>
      </w:r>
    </w:p>
    <w:p>
      <w:r>
        <w:t>- 16 - et communiqué à : - Me Gilles Monnier, avocat (pour C.________), - Me Stefan Disch, avocat (pour J.________),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