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PE24.008188 vom 11. Oktober 2024</w:t>
      </w:r>
    </w:p>
    <w:p>
      <w:r>
        <w:t>VD Tribunal cantonal, 2024-10-11, FR</w:t>
      </w:r>
    </w:p>
    <w:p>
      <w:r>
        <w:rPr>
          <w:b/>
        </w:rPr>
        <w:t xml:space="preserve">Quelle: </w:t>
      </w:r>
      <w:r>
        <w:t>https://mcp.opencaselaw.ch/entscheid/vd_gerichte_PE24.008188</w:t>
      </w:r>
    </w:p>
    <w:p>
      <w:r>
        <w:t>FR: VD_GERICHTE PE24.008188 du 11 octobre 2024</w:t>
      </w:r>
    </w:p>
    <w:p>
      <w:r>
        <w:t>IT: VD_GERICHTE PE24.008188 del 11 ottobre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devant l’autorité compétente. Le recours doit cependant être déclaré irrecevable pour les raisons qui suivent.</w:t>
      </w:r>
    </w:p>
    <w:p>
      <w:r>
        <w:rPr>
          <w:b/>
        </w:rPr>
        <w:t>E. 2.1</w:t>
      </w:r>
    </w:p>
    <w:p>
      <w:r>
        <w:t>Le BRAPA conteste la version des faits présentée par D.________ lors de son audition par la police – laquelle a été retenue par le Ministère public – et propose une autre version, pièces à l’appui. En substance, il soutient que le minimum vital de D.________ aurait été mal calculé, parce qu'il n'avait pas été tenu compte du fait qu'il vivait en</w:t>
      </w:r>
    </w:p>
    <w:p>
      <w:r>
        <w:t>- 4 - concubinage, de sorte qu'il n'assumait pas seul le montant de son loyer, un solde disponible en résultant. Le recourant fait également valoir que D.________ s'était engagé auprès du Service des migrations et de la population du canton de Fribourg à prendre en charge tous les frais de sa compagne, qui n'exerçait aucune activité lucrative, ce qui démontrait qu'il possédait les ressources financières pour honorer, à tout le moins en partie, les contributions d'entretien dues à ses enfants, lesquelles étaient des créances privilégiées.</w:t>
      </w:r>
    </w:p>
    <w:p>
      <w:r>
        <w:rPr>
          <w:b/>
        </w:rPr>
        <w:t>E. 2.2.1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CREP 16 octobre 2024/744 consid. 1.2 ; CREP 4 octobre 2024/710 consid. 2.1).</w:t>
      </w:r>
    </w:p>
    <w:p>
      <w:r>
        <w:t>- 5 - En ce qui concerne les ordonnances de non-entrée en matière, la jurisprudence exige que les motifs qui auraient dû inciter le ministère public à poursuivre l'instruction pénale ressortent clairement du recours (cf. art. 310 al. 1 CPP ; TF 7B_385/2023 du 24 mai 2024 consid. 2.1 et les références citées). Les explications doivent se référer, au moins dans les grandes lignes, à la motivation de l'ordonnance de non-entrée en matière attaquée (TF 7B_385/2023 du 24 mai 2024 consid. 2.1 et les références citées).</w:t>
      </w:r>
    </w:p>
    <w:p>
      <w:r>
        <w:rPr>
          <w:b/>
        </w:rPr>
        <w:t>E. 2.2.2</w:t>
      </w:r>
    </w:p>
    <w:p>
      <w:r>
        <w:t>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L'art. 385 al. 2 CPP ne s'applique pas aux requêtes déposées par une partie qui connaît les exigences de forme – à savoir notamment une partie assistée d'un avocat – et ne les respecte néanmoins pas (TF 7B_355/2023 du 30 juillet 2024 consid. 2.2.1; TF 7B_51/2024 du 25 avril 2024 consid. 2.2.2 et les références citées).</w:t>
      </w:r>
    </w:p>
    <w:p>
      <w:r>
        <w:rPr>
          <w:b/>
        </w:rPr>
        <w:t>E. 2.2.3</w:t>
      </w:r>
    </w:p>
    <w:p>
      <w:r>
        <w:t>Conformément à l'art. 393 al. 2 CPP, le recours peut être formé pour violation du droit, y compris l'excès et l'abus du pouvoir d'appréciation, le déni de justice et le retard injustifié (let. a), pour</w:t>
      </w:r>
    </w:p>
    <w:p>
      <w:r>
        <w:t>- 6 - constatation incomplète ou erronée des faits (let. b) ou pour inopportunité (let. c).</w:t>
      </w:r>
    </w:p>
    <w:p>
      <w:r>
        <w:rPr>
          <w:b/>
        </w:rPr>
        <w:t>E. 2.3</w:t>
      </w:r>
    </w:p>
    <w:p>
      <w:r>
        <w:t>En l'espèce, le recourant se plaint de manière implicite d'une constatation erronée des faits, sans préciser le motif de recours tiré de l’art. 393 al. 2 let. b CPP. En outre et surtout, le BRAPA se borne à alléguer un état de fait différent de celui retenu par le Ministère public. Ainsi, le recourant allègue les mêmes faits que ceux contenus dans sa plainte du 14 novembre 2023, pièces à l'appui, sans indiquer pour quel motif ceux-ci devraient prévaloir sur l'état de fait retenu par le Ministère public. Le recourant ne développe dès lors aucun moyen concret et spécifique à l'endroit de la motivation du Ministère public, à laquelle il ne se réfère pas, ne serait-ce que dans les grandes lignes. Concrètement, le BRAPA n'expose pas pourquoi le Ministère public se serait mépris en retenant les explications données par D.________ lors de son audition par la police le 28 mars 2024 ou en quoi elles n'auraient pas dû conduire à la reddition d’une ordonnance de non-entrée en matière. Il ne met ainsi en évidence aucune faille dans le raisonnement du Ministère public. Le recours ne satisfait dès lors pas aux exigences de motivation de l’art. 385 CPP (cf. consid. 2.2.1 supra). En outre, les conclusions formulées par le BRAPA dans son recours, à savoir « dire que le présent recours est recevable [et] reconnaître Monsieur D.________ coupable de violation d'une obligation d'entretien » sont irrecevables, en tant qu'elles ne permettent pas de statuer sur le recours, la Chambre de céans n'étant pas compétente pour prononcer une condamnation.</w:t>
      </w:r>
    </w:p>
    <w:p>
      <w:r>
        <w:rPr>
          <w:b/>
        </w:rPr>
        <w:t>E. 3</w:t>
      </w:r>
    </w:p>
    <w:p>
      <w:r>
        <w:t>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w:t>
      </w:r>
    </w:p>
    <w:p>
      <w:r>
        <w:t>- 7 - septembre 2010 ; BLV 312.03.1]) seront mis à la charge du recourant, qui succombe (art. 428 al. 1 CPP). Par ces motifs, la Chambre des recours pénale prononce : I. Le recours est irrecevable.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Etat de Vaud, Bureau de recouvrement et d'avances sur pensions alimentaires, - Ministère public central, et communiqué à : - Mme la Procureure de l’arrondissement de Lausanne, - M. D.________,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