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PE24.007954 vom 4. Oktober 2024</w:t>
      </w:r>
    </w:p>
    <w:p>
      <w:r>
        <w:t>VD Tribunal cantonal, 2024-10-04, FR</w:t>
      </w:r>
    </w:p>
    <w:p>
      <w:r>
        <w:rPr>
          <w:b/>
        </w:rPr>
        <w:t xml:space="preserve">Quelle: </w:t>
      </w:r>
      <w:r>
        <w:t>https://mcp.opencaselaw.ch/entscheid/vd_gerichte_PE24.007954</w:t>
      </w:r>
    </w:p>
    <w:p>
      <w:r>
        <w:t>FR: VD_GERICHTE PE24.007954 du 4 octobre 2024</w:t>
      </w:r>
    </w:p>
    <w:p>
      <w:r>
        <w:t>IT: VD_GERICHTE PE24.007954 del 4 ottobre 2024</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L’acte de recours du 17 juin 2024 a été adressé en temps utile (art. 385 al. 1 CPP) à l’autorité compétente par la partie plaignante qui a qualité pour recourir (art. 382 al. 1 CPP). Il est recevable sous réserve de ce qui sera exposé ci-dessous (cf. consid. 3 et 4 infra).</w:t>
      </w:r>
    </w:p>
    <w:p>
      <w:r>
        <w:rPr>
          <w:b/>
        </w:rPr>
        <w:t>E. 2.1</w:t>
      </w:r>
    </w:p>
    <w:p>
      <w:r>
        <w:t>N.________ SA se plaint d’une violation de son droit d’être entendue. Elle relève que l’ordonnance entreprise résume très brièvement les auditions de police sans toutefois transmettre les procès-verbaux de ces auditions ou le rapport de police que les inspecteurs ont probablement remis au Ministère public au terme de leurs investigations et soutient que le Ministère public aurait dû lui donner l’occasion d’accéder au dossier et de se déterminer avant de rendre une décision. Elle se fonde sur un arrêt rendu par le Tribunal fédéral le 29 mai 2017, par lequel celui-ci a annulé un arrêt confirmant une ordonnance de non-entrée en matière au motif que le recourant ignorait l’existence d’un rapport de police, de sorte que</w:t>
      </w:r>
    </w:p>
    <w:p>
      <w:r>
        <w:t>- 7 - celui-ci ne pouvait pas fonder une décision de non-entrée en matière (TF 6B_33/2017 consid. 2.2).</w:t>
      </w:r>
    </w:p>
    <w:p>
      <w:r>
        <w:rPr>
          <w:b/>
        </w:rPr>
        <w:t>E. 2.2</w:t>
      </w:r>
    </w:p>
    <w:p>
      <w:r>
        <w:t>Le droit d'être entendu, tel qu'il est garanti par l'art. 29 al. 2 Cst. (Constitution fédérale de la Confédération suisse du 18 avril 1999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145 I 73 consid. 7.2.2.1). 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6B_382/2022 du 12 septembre 2022 consid. 2.1.2 ; TF 6B_191/2021 du 11 août 2021 consid. 7.2.2 ; TF 6B_1007/2020 du 13 avril 2021 consid. 2.3 ; TF 6B_290/2020 du 17 juillet 2020 consid. 2.2 et les réf.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6B_191/2021 précité consid. 7.2.2 ; TF 6B_1014/2020 du 10 février 2021 consid. 2.1.2 ; TF 6B_290/2020 précité consid. 7.2.2 et les réf. citées).</w:t>
      </w:r>
    </w:p>
    <w:p>
      <w:r>
        <w:rPr>
          <w:b/>
        </w:rPr>
        <w:t>E. 2.3</w:t>
      </w:r>
    </w:p>
    <w:p>
      <w:r>
        <w:t>La recourante ne peut rien tirer de la jurisprudence à laquelle elle se réfère. En effet, dans le cas concerné, le plaignant n’était pas au</w:t>
      </w:r>
    </w:p>
    <w:p>
      <w:r>
        <w:t>- 8 - courant de l’existence du rapport de police, l’ordonnance de non-entrée en matière n’y faisant aucune référence. La Haute Cour avait ainsi considéré que dans la mesure où la décision laissait supposer qu’aucune mesure d’instruction n’avait été opérée, il ne pouvait être reproché au recourant de n’avoir pas consulté le dossier au moment de formuler son recours ni de s’être abstenu de discuter de ce rapport. En l’espèce, la situation est différente. La recourante avait été informée, le 31 mars 2023, qu’une enquête préliminaire avait été confiée à la police (P. 6). Par ailleurs, W.________ avait été auditionné le 19 septembre 2023 (PV aud. 2). Enfin, le 23 novembre 2023, l’inspectrice en charge de l’enquête préliminaire avait fait savoir au conseil de la recourante qu’elle était en train d’établir un rapport à l’attention du Ministère public (P. 11/3). La recourante avait dès lors tout le loisir de consulter le dossier avant de déposer son recours, ce qu’elle n’a pas fait. Par surabondance, il est relevé qu’une éventuelle violation du droit d’être entendu – non réalisée en l’espèce – aurait en tout état de cause pu être réparée, dans la mesure où la Chambre de céans dispose d’un plein pouvoir de cognition en fait et en droit. Le grief tiré d’une violation du droit d’être entendu est ainsi mal fondé.</w:t>
      </w:r>
    </w:p>
    <w:p>
      <w:r>
        <w:rPr>
          <w:b/>
        </w:rPr>
        <w:t>E. 3.1</w:t>
      </w:r>
    </w:p>
    <w:p>
      <w:r>
        <w:t>La recourante se plaint en outre d’une violation du principe in dubio pro duriore. Elle expose en substance que W.________ aurait signé le contrat de bail sur conseil de T.________, qui le lui aurait remis, en lui indiquant que le contrat avait un but bancaire et était sans conséquence pour N.________ SA. Elle fait également valoir que la signature d’un premier contrat de bail n’autorisait en rien T.________ à en signer un second, alors qu’elle ne disposait d’aucun pouvoir de représentation, que ce nouveau contrat prévoyait un loyer plus élevé et que la partie co-contractante était une autre société, à savoir H.________ SA. Enfin, la recourante soutient qu’elle n’était pas en mesure, par des vérifications élémentaires, de savoir</w:t>
      </w:r>
    </w:p>
    <w:p>
      <w:r>
        <w:t>- 9 - que T.________ avait signé un second contrat de bail, car celle-ci ne le lui avait pas révélé. Dès qu’il avait reçu les factures relatives aux loyers et à la garantie de loyer de la villa de [...], il avait posé les questions nécessaires à H.________ et lui avait demandé de lui transmettre le contrat de bail. La recourante a produit une traduction libre de l’échange de messages que T.________ a eu avec W.________ le 11 novembre 2022. Il en ressort qu’après que T.________ lui avait envoyé le contrat de bail en fichier PDF, il avait répondu : « Il n’est pas nécessaire que la société hôtelière fasse quoi que ce soit, n’est-ce pas ? » T.________ avait répondu : « Non, pas besoin, c’est pour la banque ».</w:t>
      </w:r>
    </w:p>
    <w:p>
      <w:r>
        <w:rPr>
          <w:b/>
        </w:rPr>
        <w:t>E. 3.2.1</w:t>
      </w:r>
    </w:p>
    <w:p>
      <w:r>
        <w:t>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w:t>
      </w:r>
    </w:p>
    <w:p>
      <w:r>
        <w:t>- 10 - conditions à la poursuite pénale ne sont pas remplies (ATF 146 IV 68 consid. 2.1 ; TF 6B_941/2021 précité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3.2.2</w:t>
      </w:r>
    </w:p>
    <w:p>
      <w:r>
        <w:t>Aux termes de l'art. 146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(ATF 147 IV 73 consid. 3.1 ; ATF 140 IV 11 consid. 2.3.2).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w:t>
      </w:r>
    </w:p>
    <w:p>
      <w:r>
        <w:t>- 11 - exigée, de même que si l’auteur dissuade la dupe de vérifier ou prévoit, en fonction des circonstances, qu’elle renoncera à le faire en raison d’un rapport de confiance particulier (ATF 147 IV 73 précité consid. 3.2 ; ATF 142 IV 153 consid. 2.2.2).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précité ; ATF 143 IV 302 consid. 1.4.1 ; ATF 142 IV 153 précité).</w:t>
      </w:r>
    </w:p>
    <w:p>
      <w:r>
        <w:rPr>
          <w:b/>
        </w:rPr>
        <w:t>E. 3.3</w:t>
      </w:r>
    </w:p>
    <w:p>
      <w:r>
        <w:t>Rien dans les faits dénoncés par la recourante ne permet de conclure à l’existence d’une tromperie astucieuse au sens de la jurisprudence susmentionnée (cf. consid. 3.2 supra). En effet, il ressort de la plainte qu’H.________, pour le compte de la société H.________ SA, a transmis à N.________ SA des factures mensuelles concernant un prétendu bail portant sur la villa sise à [...]. Contrairement à ce qu’il affirme, W.________ était au courant de l’établissement de ce bail, dont il a signé la première version. A réception des factures, W.________ a demandé à obtenir une copie du bail à loyer et H.________ le lui a envoyé. N.________ SA a dès lors refusé de payer. Une convention de résiliation de bail a ensuite été conclue, laquelle indiquait que tous les baux signés pour la villa de [...] étaient nuls et non avenus et que N.________ SA n’était redevable d’aucun paiement de loyer ni de la garantie de loyer mentionnée dans les contrats. On ne discerne ainsi aucune tromperie, que ce soit sous la forme d’affirmations fallacieuses ou d’une dissimulation de faits vrais. La recourante ne le fait du reste pas valoir. En outre, elle se méprend sur la notion d’astuce. Il n’y a pas eu un édifice de mensonges et elle n’a pas été dissuadée de vérifier quoi que ce soit. En procédant aux vérifications élémentaires, elle a obtenu sans difficulté la seconde version</w:t>
      </w:r>
    </w:p>
    <w:p>
      <w:r>
        <w:t>- 12 - du bail. Les éléments constitutifs de l'escroquerie ne sont dès lors manifestement pas réunis. Par conséquent, les griefs soulevés par la recourante sont mal fondés.</w:t>
      </w:r>
    </w:p>
    <w:p>
      <w:r>
        <w:rPr>
          <w:b/>
        </w:rPr>
        <w:t>E. 4.1</w:t>
      </w:r>
    </w:p>
    <w:p>
      <w:r>
        <w:t>La recourante soutient encore, toujours en lien avec l’infraction d’escroquerie, que le procureur aurait dû investiguer pour connaître le but véritable du premier contrat signé par W.________. Elle reproche au Ministère public de ne pas avoir évoqué les messages échangés à cette occasion entre l’administrateur de N.________ SA et T.________. La recourante fait également valoir qu’il serait choquant que T.________ ait signé le second contrat.</w:t>
      </w:r>
    </w:p>
    <w:p>
      <w:r>
        <w:rPr>
          <w:b/>
        </w:rPr>
        <w:t>E. 4.2</w:t>
      </w:r>
    </w:p>
    <w:p>
      <w:r>
        <w:t>Selon l’art. 385 al. 1 CPP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CREP 30 juillet 2024/558 consid. 1.2).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w:t>
      </w:r>
    </w:p>
    <w:p>
      <w:r>
        <w:t>- 13 - pas suffisant (TF 6B_1447/2022 précité consid. 1.1 ; CREP 30 juillet 2024/558 précité). L’art. 385 al. 2, 1e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consid. 1.1).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consid. 1.1 ; TF 6B_609/2021 du 19 juillet 2021 consid. 2.4 ; TF 6B_510/2020 du 15 septembre 2020 consid. 2.2 et les références citées).</w:t>
      </w:r>
    </w:p>
    <w:p>
      <w:r>
        <w:rPr>
          <w:b/>
        </w:rPr>
        <w:t>E. 4.3</w:t>
      </w:r>
    </w:p>
    <w:p>
      <w:r>
        <w:t>La Cour de céans relève, tout d’abord, que ce n’est qu’au stade du recours que N.________ SA semble soutenir – pour autant qu’on la comprenne – qu’elle aurait été victime d’une escroquerie parce que T.________ aurait soumis une première version du contrat de bail à W.________. Dans le cadre de sa plainte, la plaignante n’a même pas évoqué la signature d’un contrat et, lors de son audition par la police, l’administrateur de la plaignante n’a reconnu avoir signé le contrat concerné qu’après qu’il lui avait été soumis. Il ne s’est au demeurant pas expliqué sur le but du contrat et la raison pour laquelle il l’avait signé. La traduction libre que la recourante a produite des échanges de messages entre T.________ et W.________ ne renseigne pas à cet égard et ne démontre pas qu’il aurait été d’emblée décidé que le contrat serait sans conséquence. Les auditions de T.________ et d’H.________ ne renseignent pas plus sur ces éléments, toutes les personnes concernées étant restées vague à ce propos. Il est donc inexact d’affirmer, comme le fait la</w:t>
      </w:r>
    </w:p>
    <w:p>
      <w:r>
        <w:t>- 14 - recourante, que le but véritable du premier contrat n’a pas été investigué. Quoi qu’il en soit, N.________ SA n’explique pas, même dans les grandes lignes, en quoi la soumission de la première version du contrat de bail par T.________ à W.________ pourrait être constitutive d’escroquerie. Le recours souffre ainsi d’un défaut de motivation à cet égard. Il en va de même du grief soulevé par la recourante selon lequel il serait choquant que T.________ ait signé un second contrat. Il en est pris acte. N.________ SA se borne toutefois à affirmer cela sans démontrer nullement, ne serait-ce que de manière générale, en quoi cet agissement serait constitutif d’escroquerie, contrairement à ce qu’a retenu le procureur, étant rappelé qu’une convention stipulant que les contrats de bail sont nuls et non avenus a été conclue entre N.________ SA, d’une part, et H.________ SA ainsi que B.________ SA, d’autre part. Les moyens soulevés sont dès lors irrecevables.</w:t>
      </w:r>
    </w:p>
    <w:p>
      <w:r>
        <w:rPr>
          <w:b/>
        </w:rPr>
        <w:t>E. 5.1</w:t>
      </w:r>
    </w:p>
    <w:p>
      <w:r>
        <w:t>Enfin, la recourante soutient qu’à supposer que les conditions de l’infraction d’escroquerie ne soient pas réalisées, il conviendrait de retenir l’infraction d’abus de confiance ou celle d’usurpation d’identité.</w:t>
      </w:r>
    </w:p>
    <w:p>
      <w:r>
        <w:rPr>
          <w:b/>
        </w:rPr>
        <w:t>E. 5.2</w:t>
      </w:r>
    </w:p>
    <w:p>
      <w:r>
        <w:t>À nouveau, N.________ SA n’expose pas, même de manière succincte, quels motifs commanderaient, sous l’angle du fait et du droit, de retenir l’abus de confiance, alors même qu’elle n’a, en particulier, jamais allégué ni n’allègue dans son recours qu’une chose mobilière, respectivement des valeurs patrimoniales, auraient été confiés à T.________, qui se les serait appropriées. En l’absence de toute motivation, le recours est à cet égard irrecevable (cf. consid. 4.1 supra). En ce qui concerne l’infraction d’usurpation d’identité, la recourante n’indique pas, même de manière sommaire, ce qui commanderait de la retenir. En particulier, elle n’a jamais soutenu au stade de la plainte ou lors de l’audition de son administrateur par la police, ni ne prétend au stade du recours que T.________ aurait utilisé l’identité de</w:t>
      </w:r>
    </w:p>
    <w:p>
      <w:r>
        <w:t>- 15 - W.________. Le recours est dès lors irrecevable sur ce point également (cf. consid. 4.1 supra). Par surabondance, il est relevé que l’art. 179decies CP n’est entré en vigueur que le 1er septembre 2023, soit postérieurement à la survenue des faits dénoncés, de sorte que cette disposition ne trouverait pas application même si cette infraction était réalisée, en vertu des principes de la légalité et de la non-rétroactivité de la loi pénale (art. 1 et 2 CP).</w:t>
      </w:r>
    </w:p>
    <w:p>
      <w:r>
        <w:rPr>
          <w:b/>
        </w:rPr>
        <w:t>E. 6</w:t>
      </w:r>
    </w:p>
    <w:p>
      <w:r>
        <w:t>En définitive, le recours, manifestement mal fondé, doit être rejeté dans la mesure où il est recevable, sans échange d’écritures (art. 390 al. 2 CPP), et l’ordonnance attaquée confirmée. Vu le sort du recours, les frais de la présente procédure, soit l’émolument d’arrêt, par 1’540 fr. (art. 20 al. 1 TFIP [tarif des frais de procédure et indemnités en matière pénale du 28 septembre 2010 ; BLV 312.03.1]), seront mis à la charge de la recourante, qui succombe (art. 428 al. 1 CPP). L'avance de frais de 770 fr. versée par l’intéressée à titre de sûretés sera imputée sur les frais d'arrêt mis à sa charge (art. 7 TFIP), le solde en faveur de l’Etat s’élevant ainsi à 770 francs. Par ces motifs, la Chambre des recours pénale prononce : I. Le recours est rejeté dans la mesure où il est recevable. II. L’ordonnance du 5 juin 2024 est confirmée. III. Les frais d’arrêt, par 1’540 fr. (mille cinq cent quarante francs), sont mis à la charge de N.________ SA.</w:t>
      </w:r>
    </w:p>
    <w:p>
      <w:r>
        <w:t>- 16 - IV. Le montant de 770 fr. (sept cent septante francs) versé par N.________ SA à titre de sûretés est imputé sur les frais mis à sa charge au chiffre III ci-dessus, le solde dû à l’Etat par celle- ci s’élevant à 770 fr. (sept cent septante francs). V. L’arrêt est exécutoire. Le président : La greffière : Du Le présent arrêt, dont la rédaction a été approuvée à huis clos, est notifié, par l'envoi d'une copie complète, à : - Me Benjamin Smadja, avocat (pour N.________ SA), - Ministère public central, et communiqué à : - M. le Procureur de l’arrondissement de Lausanne, - Me Bernard Cron, avocat (pour H.________ et H.________ SA), - T.________,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