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PE24.007894 vom 14. Februar 2025</w:t>
      </w:r>
    </w:p>
    <w:p>
      <w:r>
        <w:t>VD Tribunal cantonal, 2025-02-14, FR</w:t>
      </w:r>
    </w:p>
    <w:p>
      <w:r>
        <w:rPr>
          <w:b/>
        </w:rPr>
        <w:t xml:space="preserve">Quelle: </w:t>
      </w:r>
      <w:r>
        <w:t>https://mcp.opencaselaw.ch/entscheid/vd_gerichte_PE24.007894</w:t>
      </w:r>
    </w:p>
    <w:p>
      <w:r>
        <w:t>FR: VD_GERICHTE PE24.007894 du 14 février 2025</w:t>
      </w:r>
    </w:p>
    <w:p>
      <w:r>
        <w:t>IT: VD_GERICHTE PE24.007894 del 14 febbraio 2025</w:t>
      </w:r>
    </w:p>
    <w:p>
      <w:pPr>
        <w:pStyle w:val="Heading2"/>
      </w:pPr>
      <w:r>
        <w:t>Erwägungen</w:t>
      </w:r>
    </w:p>
    <w:p>
      <w:r>
        <w:rPr>
          <w:b/>
        </w:rPr>
        <w:t>E. 5.1.1</w:t>
      </w:r>
    </w:p>
    <w:p>
      <w:r>
        <w:t>A.________ invoque une violation de la présomption d’innocence s’agissant du cas 2.17 ; il n’aurait jamais souhaité que la moindre violence soit exercée à l’encontre de N.________. Comme il se serait contenté d’accepter la part du butin qui lui a été remise par B.________ sans avoir participé au brigandage, seul un recel pourrait lui être reproché. A.________ ne remet en revanche pas en cause sa condamnation pour les chefs d’accusation de vol, de rupture de ban et de contravention à la LStup.</w:t>
      </w:r>
    </w:p>
    <w:p>
      <w:r>
        <w:rPr>
          <w:b/>
        </w:rPr>
        <w:t>E. 5.1.2</w:t>
      </w:r>
    </w:p>
    <w:p>
      <w:r>
        <w:t>B.________ soutient que ce serait à tort que les premiers juges ont préféré la version des faits de N.________ à la sienne. Ils auraient minimisé le caractère incohérent et contradictoire des déclarations de ce dernier durant la procédure, qui aurait donné plusieurs versions différentes s’agissant de la raison que les agresseurs avaient utilisée pour s’approcher de lui et ne se serait pas souvenu du lieu et de l’heure exacts de l’agression. L’appelant relève également que des traces de plusieurs substances stupéfiantes ont été décelées dans le sang et/ou l’urine de N.________, ce qui réduirait sa crédibilité. Il n’y aurait, à l’inverse, pas lieu de douter de sa propre crédibilité. Les premiers juges se seraient également fourvoyés en retenant qu’A.________ et lui avaient préféré cacher l’argent plutôt que le rendre à N.________ une fois celui-ci revenu un couteau à la main. Il affirme qu’il leur aurait été impossible de rendre l’argent au regard de l’état d’énervement de N.________.</w:t>
      </w:r>
    </w:p>
    <w:p>
      <w:r>
        <w:t>- 28 - Pour conclure, il réfute avoir contesté les déclarations de N.________ « pendant une bonne partie de l’enquête préliminaire », relevant avoir admis les faits seulement trois jours après leur survenance.</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w:t>
      </w:r>
    </w:p>
    <w:p>
      <w:r>
        <w:t>- 29 - portée plus large que l'interdiction de l'arbitraire (ATF 148 IV 409 consid. 2.2 ; ATF 146 IV 88 consid. 1.3.1).</w:t>
      </w:r>
    </w:p>
    <w:p>
      <w:r>
        <w:rPr>
          <w:b/>
        </w:rPr>
        <w:t>E. 5.2.2</w:t>
      </w:r>
    </w:p>
    <w:p>
      <w:r>
        <w:t>À teneur de l'art. 140 ch. 1 al. 1 CP, se rend coupable de brigandage quiconque commet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Comme dans le cas du vol, l'auteur soustrait la chose, c'est-à- 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Il importe peu que la victime ait été mise dans l'incapacité de se défendre pour que le brigandage soit consommé; il suffit que l'auteur ait recouru aux moyens indiqués et que le vol ait été consommé (ATF 133 IV 207 consid. 4.3.1). Cela suppose que la violence ait une certaine intensité, propre à faire céder la victime; lui prendre simplement le bras ne suffit pas (ATF 133 IV 207 consid. 4.3.2 ; TF 6B_1371/2023 du 7 novembre 2024 consid 2.1 et les références citées). D'un point de vue subjectif, l'infraction de brigandage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(ATF 133 IV 207 consid. 4.3.3). Le brigandage est une infraction intentionnelle, le dol éventuel étant suffisant (ATF 133 IV 207 consid. 4.3.3 ; TF 6B_1371/2023 précité consid 2.1 et les références citées).</w:t>
      </w:r>
    </w:p>
    <w:p>
      <w:r>
        <w:rPr>
          <w:b/>
        </w:rPr>
        <w:t>E. 5.2.3</w:t>
      </w:r>
    </w:p>
    <w:p>
      <w:r>
        <w:t>Est coauteur celui qui collabore, intentionnellement et de manière déterminante, avec d'autres personnes à la décision de</w:t>
      </w:r>
    </w:p>
    <w:p>
      <w:r>
        <w:t>- 30 -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 TF 6B_555/2024 du 14 mai 2025 consid. 1.1.6 et les références citées).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(ATF 149 IV 57 consid. 3.2.3 ; ATF 132 IV 49 consid. 1.1 ; TF 6B_913/2023 du 10 octobre 2024 consid. 6.1).</w:t>
      </w:r>
    </w:p>
    <w:p>
      <w:r>
        <w:t>- 31 -</w:t>
      </w:r>
    </w:p>
    <w:p>
      <w:r>
        <w:rPr>
          <w:b/>
        </w:rPr>
        <w:t>E. 5.3.1</w:t>
      </w:r>
    </w:p>
    <w:p>
      <w:r>
        <w:t>En l’espèce, s’il conteste son implication dans le brigandage, A.________ admet sa présence dans les toilettes au moment des faits. Il a déclaré s’être trouvé vers la porte d’entrée des toilettes, en train de fumer du crack. Il a également reconnu avoir reçu une part du butin du brigandage (PV aud. 9, ll. 73 ss ; jugement entrepris, p. 11 ; p. 4 supra). Malgré ses dénégations s’agissant de son implication dans le larcin, il a été formellement identifié par N.________ comme l’un de ses agresseurs (PV aud. 3, R. 5 et 8 ; jugement entrepris, p. 8). Il est également formellement mis en cause par B.________, qui a déclaré ce qui suit lors des débats de première instance : « j’admets avoir pris l’argent à N.________. Il était un ami. Il m’avait montré qu’il avait entre 300 et 400 francs. Je n'ai pas convenu avec A.________ et H.________ de la manière de procéder. Nous étions les trois d’accord de prendre l’argent de N.________ […]. [A.________] se tenait devant la porte. A l’intérieur. Ce n’était pas forcément pour éviter que quelqu’un ne rentre. […] Il n’y avait rien de prévu pour se partager l’argent, on se l’est partagé en trois par la suite. […] à la base nous étions les trois, soit moi-même, H.________ et A.________ pour prendre l’argent mais A.________ n’a pas participé physiquement. […] Ce n’est pas que nous étions arrivés les trois sans savoir que nous allions prendre l’argent. Nous n’avions pas prévu de scénario auparavant en se répartissant les rôles ». B.________ a confirmé l’implication d’A.________ dans le brigandage lors des débats d’appel, ajoutant qu’A.________ « gardait la porte ». Il a également confirmé que le butin avait été réparti en trois parts égales entre H.________, A.________ et lui (PV aud. 10, ll. 61 et 66 ; PV aud. 15, ll 81 ss ; Jugement entrepris, pp. 5, 6 et 7 ; p. 5 supra). Au regard des éléments qui précèdent, il ne fait aucun doute qu’A.________ a participé au brigandage en qualité de coauteur. Le fait qu’il ne semble pas avoir pris une part active au moment de l’acte est sans importance. Il n’est en effet pas nécessaire qu’il ait lui-même effectué le geste en cause, il suffit que sa participation ait été essentielle. Or, il ressort clairement des déclarations de B.________ qu’A.________ a participé à la conception de l’infraction, les trois comparses s’étant mis d’accord</w:t>
      </w:r>
    </w:p>
    <w:p>
      <w:r>
        <w:t>- 32 - ensemble de voler l’argent de N.________. L’appelant jouait en outre un rôle essentiel durant le brigandage, puisqu’il était chargé de s’assurer que N.________ ne puisse pas s’enfuir et que personne ne rentre dans les toilettes. La division du butin en trois parts égales démontre également que les trois auteurs considéraient que chacun avait joué un rôle d’importance égale dans l’infraction. A.________ ne conteste pour le surplus pas la réalisation des éléments constitutifs de l’infraction de brigandage. Il peut être renvoyé au jugement entrepris à cet égard, son raisonnement étant convaincant (p. 45 ; art. 82 al. 4 CPP). Au vu de ce qui précède, A.________ doit être reconnu coupable de brigandage.</w:t>
      </w:r>
    </w:p>
    <w:p>
      <w:r>
        <w:rPr>
          <w:b/>
        </w:rPr>
        <w:t>E. 5.3.2</w:t>
      </w:r>
    </w:p>
    <w:p>
      <w:r>
        <w:t>B.________ fait grief aux premiers juges d’avoir favorisé la version des faits de N.________ à la sienne. Il a cependant reconnu son implication dans le brigandage et, en dehors des éléments pour lesquels les premiers juges se sont écartés de l’état de fait ressortant de l’acte d’accusation et qui ont déjà été traités ci-dessus (cf. consid. 4.3), il n’explique pas quel préjudice ce choix lui causerait. Il n’a ainsi aucun intérêt juridiquement protégé à tenter d’établir que les déclarations de N.________ ne seraient pas crédibles. Le grief est donc irrecevable dans cette mesure. S’agissant de sa collaboration durant la procédure, l’appelant a tenté de passer sous silence l’existence du brigandage lors de sa première audition, puis de nier son implication durant sa deuxième audition. Ce n’est que lors de sa troisième audition qu’il a reconnu les faits. Bien que cette audition ait eu lieu seulement trois jours après les faits, il ne peut pas être reproché aux premiers juges d’avoir qualifié la collaboration de « médiocre », l’appelant n’ayant fini par reconnaître les faits qu’après avoir été confronté aux déclarations de N.________ et U.________ le mettant en cause (PV aud. 3, R. 5 et 8 ; PV aud 4, R.5). On relève également que les premiers juges ont malgré tout tenu compte de la collaboration de</w:t>
      </w:r>
    </w:p>
    <w:p>
      <w:r>
        <w:t>- 33 - B.________ durant l’enquête et de sa reprise en main en détention comme éléments à décharge au moment de fixer la peine. Pour ce qui est de la critique de l’appelant voulant qu’il ne lui aurait pas été possible de rendre l’argent à N.________ en raison de l’état d’énervement de celui-ci, U.________, qui se trouvait dans les toilettes avec A.________ et B.________ lorsque N.________ est revenu pour tenter de récupérer ce qui lui avait été dérobé, a déclaré que B.________ avait dit à A.________ de cacher l’argent. Il n’a en revanche pas mentionné que les intéressés auraient discuté de la possibilité de rendre l’argent à N.________ (PV aud. 4, R. 5). A.________ a quant à lui reconnu avoir caché l’argent dans les toilettes, sans déclarer non plus qu’il aurait été envisagé de rendre l’argent à N.________ (PV au 9, ll. 119 ss). B.________ a enfin lui- même reconnu qu’une fois la police arrivée ils avaient caché l’argent dans les toilettes avant de sortir (PV aud. 15, ll. 81 ss). Il est donc évident que les deux prévenus n’ont jamais eu l’intention de restituer leur part du butin à N.________. Au vu de ce qui précède, le grief de B.________ doit être rejeté dans la mesure où il est recevable.</w:t>
      </w:r>
    </w:p>
    <w:p>
      <w:r>
        <w:rPr>
          <w:b/>
        </w:rPr>
        <w:t>E. 6.1.1</w:t>
      </w:r>
    </w:p>
    <w:p>
      <w:r>
        <w:t>Se fondant sur son acquittement pour le chef d’accusation de brigandage, A.________ considère que la peine privative de liberté prononcée à son encontre devrait être réduite à 12 mois et qu’il conviendrait de renoncer à prononcer son expulsion du territoire suisse.</w:t>
      </w:r>
    </w:p>
    <w:p>
      <w:r>
        <w:rPr>
          <w:b/>
        </w:rPr>
        <w:t>E. 6.1.2</w:t>
      </w:r>
    </w:p>
    <w:p>
      <w:r>
        <w:t>B.________ reproche au Tribunal correctionnel d’avoir largement dépassé la peine requise par le Ministère public, 24 mois de peine privative de liberté dont 12 fermes, et cela sans raison. Il affirme que les premiers juges auraient omis de prendre en considération des éléments à décharge à son égard lors de l’évaluation de sa culpabilité, soit les regrets qu’il a exprimés, son engagement à indemniser le dommage de N.________, les démarches entamées pour se remettre sur le droit chemin à</w:t>
      </w:r>
    </w:p>
    <w:p>
      <w:r>
        <w:t>- 34 - sa sortie de prison et son comportement exemplaire en détention. Il relève également qu’H.________, dont la collaboration a été nulle et qui était également poursuivi pour des infractions contre le patrimoine, s’est uniquement vu infliger une peine privative de liberté ferme de 24 mois au lieu des 36 mois requis par le Ministère public. Cette différence de traitement ne saurait selon lui être justifiée par leurs antécédents respectifs ou par une différence de collaboration lors de l’instruction. La peine privative de liberté prononcée à son encontre ne devrait ainsi pas excéder 24 mois. Il soutient encore que les premiers juges auraient violé l’art. 43 CP en retenant que l’octroi du sursis partiel était conditionné à l’existence de circonstance « particulièrement favorables ». Il estime en outre le pronostic ne serait pas défavorable. Il se serait ressaisi depuis le début de sa détention en prenant contact avec un assistant social disposé à l’aider à sa sortie de prison, souhaiterait reprendre un travail et entendrait renouer des contacts plus étroits avec sa fille. Ainsi, une part d’au moins 12 mois de la peine prononcée devrait être assortie du sursis.</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w:t>
      </w:r>
    </w:p>
    <w:p>
      <w:r>
        <w:t>- 35 -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w:t>
      </w:r>
    </w:p>
    <w:p>
      <w:r>
        <w:rPr>
          <w:b/>
        </w:rPr>
        <w:t>E. 6.2.2</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 ATF 144 IV 313 consid. 1.1.1 ; TF 6B_70/2024 du 27 janvier 2025 consid. 2.1.2).</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- 36 -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du 19 février 2024 consid. 1.4).</w:t>
      </w:r>
    </w:p>
    <w:p>
      <w:r>
        <w:rPr>
          <w:b/>
        </w:rPr>
        <w:t>E. 6.2.4</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w:t>
      </w:r>
    </w:p>
    <w:p>
      <w:r>
        <w:t>- 37 - acte mérite la confiance que l'on doit pouvoir accorder au condamné bénéficiant du sursis (TF 6B_252/2024 du 2 décembre 2024 consid. 3.1 et les références citées). Conformément à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145 IV 137 consid. 2.1 ; ATF 134 IV 1 consid. 4.2.3 ; TF 7B_270/2023 du 27 juin 2025 consid. 5.1.1). Selon l'art. 43 al. 1 CP, le juge peut suspendre partiellement l'exécution d'une peine privative de liberté d'un an au moins et de trois ans au plus afin de tenir compte de façon appropriée de la faute de l'auteur. Selon la jurisprudence, les conditions subjectives auxquelles l'art. 42 CP soumet l'octroi du sursis intégral s'appliquent également à l'octroi du sursis partiel (ATF 139 IV 270 consid. 3.3 ; ATF 134 IV 1 consid. 5.3.1). Même si l'art. 43 CP ne le prévoit pas expressément, l'octroi d'un sursis partiel suppose, comme pour l'octroi du sursis complet dans le cadre de l'art. 42 CP, l'absence de pronostic défavorable (ATF 134 IV 60 consid. 7.4). Si le pronostic sur le comportement futur de l'auteur n'est pas</w:t>
      </w:r>
    </w:p>
    <w:p>
      <w:r>
        <w:t>- 38 -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TF 6B_123/2024 du 9 avril 2024 consid. 3.1 et les références citées). Aux termes de l'art. 44 al. 1 CP, si le juge suspend totalement ou partiellement l'exécution d'une peine, il impartit au condamné un délai d'épreuve de deux à cinq ans.</w:t>
      </w:r>
    </w:p>
    <w:p>
      <w:r>
        <w:rPr>
          <w:b/>
        </w:rPr>
        <w:t>E. 6.2.5</w:t>
      </w:r>
    </w:p>
    <w:p>
      <w:r>
        <w:t>En application de l’art. 66a al. 1 let. c CP (Code pénal suisse du 21 décembre 1937 ; RS 311.0), le juge expulse de Suisse l’étranger qui est condamné pour brigandage (art. 140),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w:t>
      </w:r>
    </w:p>
    <w:p>
      <w:r>
        <w:t>- 39 -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consid. 2.1.1 ; ATF 147 IV 453 consid. 1.4.5 ;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(ATF 149 IV 231 consid. 2.1.1 ; ATF 147 IV 453 consid. 1.4.5 ; TF 7B_1317/2024 du 11 février 2025 consid. 2.2.1 et les références cité).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Un séjour légal de dix années suppose en principe une bonne intégration de l’étranger (ATF 149 I 72 consid. 2.1.2 ; ATF 144 I 266 consid. 3.9 ; TF 7B_1317/2024 précité consid. 2.2.2 et les références citées).</w:t>
      </w:r>
    </w:p>
    <w:p>
      <w:r>
        <w:t>- 40 -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147 I 268 consid. 1.2.3 ; ATF 144 II 1 consid. 6.1). Les relations familiales visées par l'art. 8 par. 1 CEDH sont avant tout celles qui concernent la famille dite nucléaire, soit celles qui existent entre époux ainsi qu'entre parents et enfants mineurs vivant en ménage commun (cf. ATF 144 II 1 consid. 6.1 ; ATF 135 I 143 consid. 1.3.2).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L'intérêt de l'enfant est particulièrement atteint lorsque l'expulsion entraîne une rupture de l'unité conjugale, c'est- à-dire lorsque les relations familiales sont intactes et que les parents détiennent conjointement l'autorité parentale et la garde de l'enfant et que l'on ne peut pas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En l'absence de ménage commun avec son enfant et de relations personnelles entretenues de manière régulière, la seule présence en Suisse de l'enfant du recourant ne permet en principe pas de considérer qu'il existe une atteinte à la vie familiale au sens de l'art. 8 par. 1 CEDH et, par conséquent, que son expulsion l'expose à une situation personnelle grave (TF 7B_1317/2024 précité consid. 2.2.3 et les références citées).</w:t>
      </w:r>
    </w:p>
    <w:p>
      <w:r>
        <w:rPr>
          <w:b/>
        </w:rPr>
        <w:t>E. 6.3.1</w:t>
      </w:r>
    </w:p>
    <w:p>
      <w:r>
        <w:t>La culpabilité d’A.________ est lourde. Bien qu’il ne s’en soit pas pris physiquement à N.________, son association au brigandage reste entière. Il n’a pas hésité à dépouiller une personne qu’il connaissait, de</w:t>
      </w:r>
    </w:p>
    <w:p>
      <w:r>
        <w:t>- 41 - concert avec deux congénères, ce qui dénote une mentalité guère reluisante. Il a refusé de restituer l’argent à N.________ lorsque celui-ci est revenu afin de se faire justice. Sa collaboration durant l’enquête a été pratiquement nulle, puisque ce n’est qu’en toute fin de procédure qu’il a admis que N.________ s’était fait agressé en sa présence. Sa prise de conscience est également pratiquement nulle, puisqu’il persiste à nier son implication dans le brigandage et a uniquement reconnu les autres infractions dans lesquelles il a été impliqué, qui sont de moindre gravité. Il a déjà fait l’objet de 15 condamnations et il y a concours d’infractions. A décharge, il convient de retenir sa toxicomanie, l’emprise des produits stupéfiants au moment des faits et l’absence d’antécédent violent. Au regard des nombreux antécédents de l’appelant, pour des raisons de prévention spéciale, le vol et la rupture de ban seront sanctionnées par une peine privative de liberté. L’infraction la plus grave est le brigandage. Il doit être sanctionné par une peine privative de liberté de 22 mois. Par l’effet du concours, la peine sera augmentée de 2 mois pour le vol et de 6 mois pour la rupture de ban. C’est ainsi une peine privative de liberté globale de 30 mois qui doit être prononcée. La prise de conscience de l’appelant étant nulle et la sanction pénale ne semblant avoir aucun effet sur son comportement, le pronostic d’amendement ne peut être que défavorable. La peine prononcée sera donc ferme. L’amende de 100 fr. prononcée pour sanctionner la contravention à la LStup est adéquate. Le brigandage est un cas d’expulsion obligatoire. L’intérêt public à l’expulsion de l’appelant est important. Celui-ci est arrivé en Suisse en 2018, son séjour a été émaillé de condamnations pénales régulières dès son arrivée sur le territoire et il a fait de nombreux séjours en prison. Le risque de récidive est important. L’intérêt privé de l’appelant à demeurer en Suisse est pour sa part très limité. Il n’a pas de famille en Suisse, il n’a pas de revenus, il ne dispose pas de domicile en Suisse ni de titre de séjour et il est déjà sous le coup d’une expulsion pénale de 8 ans prononcée en 2023. Il a passé une grande partie de son enfance au Maroc</w:t>
      </w:r>
    </w:p>
    <w:p>
      <w:r>
        <w:t>- 42 - et y a effectué une partie de sa scolarité. Tout porte à croire que ses parents et ses deux frères se trouvent toujours au Maroc. Il lui serait donc aisé de s’intégrer dans ce pays. Les conditions d’application de la clause de rigueur ne sont donc pas réalisées. Il convient de confirmer l’expulsion d’A.________ du territoire suisse pour une durée de 20 ans.</w:t>
      </w:r>
    </w:p>
    <w:p>
      <w:r>
        <w:rPr>
          <w:b/>
        </w:rPr>
        <w:t>E. 6.3.2</w:t>
      </w:r>
    </w:p>
    <w:p>
      <w:r>
        <w:t>Contrairement à ce que soutient B.________, les premiers juges ont pris en compte ses aveux, son engagement à indemniser N.________ s’il était en mesure de le faire et sa reprise en main en détention comme éléments à décharge lors de la fixation de la peine. Ils ont également pris en compte sa toxicomanie et l’emprise des produit stupéfiants au moment des faits. Pour ce qui est de son comportement en détention, le rapport de comportement du 8 janvier 2025 de la Direction de la prison de La Croisée l’a seulement décrit comme « adéquat » (P. 106). Cela correspond à ce que l’on est en droit d’attendre de la part d’un détenu. C’est donc à bon droit que les premiers juges ne l’ont pas retenu comme élément à décharge. Malgré ces éléments, la culpabilité de B.________ est lourde. Comme A.________, il n’a pas hésité à voler une connaissance à trois contre un. Il a de nombreux antécédents, certains violents, et il y a concours d’infractions. Il ressort de son extrait de casier judiciaire qu’il a déjà dû purger 37 mois de peines privatives de liberté au total depuis 2013, notamment pour des infractions graves telles que deux rixes, des lésions corporelles graves, des lésions corporelles simples et des lésions corporelles simples qualifiées. Il peine manifestement à contrôler ses émotions et peut se montrer violent à l’encontre d’autrui. S’agissant de la comparaison opérée par l’appelant avec la peine prononcée à l’encontre d’H.________, on rappellera que la jurisprudence du Tribunal fédéral admet que, en raison de l’appréciation subjective et de la situation personnelle de chacun, une peine différente peut se justifier alors que les coauteurs ont commis les mêmes faits (TF 6B_284/2020 du 3 juillet 2020). Il est exact qu’H.________ n’a pas participé à l’enquête, alors que B.________ a fini par collaborer. Cependant, les antécédents de</w:t>
      </w:r>
    </w:p>
    <w:p>
      <w:r>
        <w:t>- 43 - B.________ sont significativement plus graves. En effet, cinq condamnations figurent à son casier judiciaire, dont trois à des peines privatives de liberté fermes de 7, 14 et 16 mois, alors que le casier judiciaire d’H.________ ne fait état que de deux condamnations à des peines pécuniaires de 60 et 90 jours-amende. Les antécédents violents de B.________ plaident également en sa défaveur. Une différence de quotité entre les peines des deux intéressés n’est ainsi pas choquante. On relèvera cependant que la Cour de céans estime la peine infligée à H.________ très clémente. Elle n’est cependant pas en mesure de revoir cette peine en l’absence d’appel du Ministère public à cet égard. La Cour de céans considère que la peine privative de liberté de 30 mois prononcée par le Tribunal correctionnel à l’encontre de B.________ est adéquate. Pour des raisons de prévention spéciale, il convient de sanctionner l’infraction à la LEI par une peine privative de liberté. L’infraction la plus grave est le brigandage. Au vu des antécédents de violence, il doit être sanctionné par une peine privative de liberté de 24 mois. Par l’effet du concours, la peine doit être augmentée de 6 mois pour l’infraction à la LEI. Pour ce qui est d’un éventuel sursis, l’appelant a démontré une insensibilité hors norme à la peine privative de liberté. Sa précédente condamnation, à une peine privative de liberté de sept mois, a été prononcée moins de deux ans avant les faits en cause. Il a démontré qu’il ne craignait pas le recours à la violence. Le pronostic d’amendement ne peut ainsi qu’être défavorable. La peine prononcée sera donc ferme. L’amende de 100 fr. prononcée pour sanctionner la contravention à la LStup est également adéquate.</w:t>
      </w:r>
    </w:p>
    <w:p>
      <w:r>
        <w:rPr>
          <w:b/>
        </w:rPr>
        <w:t>E. 7</w:t>
      </w:r>
    </w:p>
    <w:p>
      <w:r>
        <w:t>Afin de garantir l’exécution de leur solde de peine et en raison du risque de fuite qu’ils présentent, A.________ et B.________ seront maintenu en exécution anticipée de peine. A cet égard, le dispositif notifié aux parties le 10 octobre 2025 mentionnait par erreur un maintien en « détention pour des motifs de sûreté » des intéressés. Cette erreur sera</w:t>
      </w:r>
    </w:p>
    <w:p>
      <w:r>
        <w:t>- 44 - rectifiée d’office (art. 83 al. 1 CPP). La détention subie depuis le jugement de première instance sera déduite (art. 51 CP).</w:t>
      </w:r>
    </w:p>
    <w:p>
      <w:r>
        <w:rPr>
          <w:b/>
        </w:rPr>
        <w:t>E. 8</w:t>
      </w:r>
    </w:p>
    <w:p>
      <w:r>
        <w:t>Au vu de ce qui précède, l’appel d’A.________ doit être rejeté et l’appel de B.________ doit être rejeté dans la mesure où il est recevable. Le jugement entrepris doit être confirmé. Il y a lieu d’allouer à Mes Frank Tièche et Quentin Cuendet, défenseurs d’office respectivement d’A.________ et de B.________, une indemnité pour la procédure d’appel. Me Tièche a produit une liste des opérations faisant état de 15h45 d’activité d’avocat et 0h25 d’activité d’avocat-stagiaire. Il n’y a pas lieu de s’en écarter, si ce n’est s’agissant de l’opération relative à l’audience d’appel, qui sera réduite à 1h00 afin de tenir compte de sa durée effective. Les honoraires s’élèvent ainsi à 2’700 fr. 85, correspondant à 14h45 d’activité au tarif horaire de 180 fr. et 0h25 d’activité au tarif horaire de 110 fr. (art. 2 al. 1 let. a et b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par 54 fr., deux vacations forfaitaires de 120 fr. (art. 3bis al. 3 RAJ), et la TVA au taux de 8,1 % sur le tout, par 242 fr. 60. L’indemnité s’élève ainsi à 3'237 fr. 45 au total. Me Cuendet a produit une liste des opérations faisant état de 15h15 d’activité. Il n’y a pas lieu de s’en écarter. Les honoraires s’élèvent ainsi à 2'745 fr. au tarif horaire de 180 francs. Viennent s’y ajouter les débours forfaitaires de 2 %, par 54 fr. 90, cinq vacations forfaitaires de 120 fr. et la TVA au taux de 8,1 %, par 275 fr. 40. L’indemnité s’élève ainsi à 3'675 fr. 30 au total. Les frais de procédure s’élèvent à 11’352 fr. 75. Ils sont constitués de l’émolument d’audience, par 700 fr. (art. 21 al. 2 TFIP), de</w:t>
      </w:r>
    </w:p>
    <w:p>
      <w:r>
        <w:t>- 45 - l’émolument de jugement, par 3’740 fr. (art. 21 al. 1 TFIP), et des indemnités d’office arrêtées ci-dessus. A.________ et B.________ succombant, ils supporteront chacun la moitié des émoluments d’audience et de jugement, ainsi que l’indemnité d’office allouée à leur défenseur respectif. A.________ et B.________ seront tenus de rembourser à l’Etat de Vaud le montant des indemnités allouées à leur défenseur d’office respectif dès que leur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