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PE24.007878 vom 10. Juni 2024</w:t>
      </w:r>
    </w:p>
    <w:p>
      <w:r>
        <w:t>VD Tribunal cantonal, 2024-06-10, FR</w:t>
      </w:r>
    </w:p>
    <w:p>
      <w:r>
        <w:rPr>
          <w:b/>
        </w:rPr>
        <w:t xml:space="preserve">Quelle: </w:t>
      </w:r>
      <w:r>
        <w:t>https://mcp.opencaselaw.ch/entscheid/vd_gerichte_PE24.007878</w:t>
      </w:r>
    </w:p>
    <w:p>
      <w:r>
        <w:t>FR: VD_GERICHTE PE24.007878 du 10 juin 2024</w:t>
      </w:r>
    </w:p>
    <w:p>
      <w:r>
        <w:t>IT: VD_GERICHTE PE24.007878 del 10 giugno 2024</w:t>
      </w:r>
    </w:p>
    <w:p>
      <w:pPr>
        <w:pStyle w:val="Heading2"/>
      </w:pPr>
      <w:r>
        <w:t>Erwägungen</w:t>
      </w:r>
    </w:p>
    <w:p>
      <w:r>
        <w:rPr>
          <w:b/>
        </w:rPr>
        <w:t>E. 1.1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sont contestés (Bähler, in : Niggli/Heer/ Wiprächtiger [éd.], Basler Kommentar, Schweizerische Strafprozessordnung, Jugendstrafprozessordnung, 3e éd., Bâle 2023 [ci-après : Basler Kommentar], n. 2 ad art. 385 CPP). Il doit ensuite énoncer « les motifs qui commandent une autre décision » (art. 385 al. 1 let. b CPP), à savoir les arguments, de fait ou de droit, sur lesquels il prétend se fonder pour faire modifier la décision en sa faveur. Cela suppose que le recourant expose précisément, en se référant aux considérants de la décision attaquée, quels motifs commandent – sous</w:t>
      </w:r>
    </w:p>
    <w:p>
      <w:r>
        <w:t>- 4 -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6B_1447/2022 du 14 mars 2023 consid. 1.1 et les références citées ; TF 1B_318/2021 du 25 janvier 2022 consid. 4.1 ; TF 6B_191/2021 du 11 août 2021 consid. 2 ; Guidon, in : Basler Kommentar, op. cit., n. 9c ad art. 396 CPP et les références citées ; Keller, in : Donatsch/Lieber/Summers/Wohlers [éd.], Zürcher Kommentar, Kommentar zur Schweizerischen Strafprozessordnung, 3e éd., Zurich/Bâle/Genève 2020, n. 14 ad art. 396 CPP et les références citées ; Calame, in : Jeanneret et al. [éd.], Commentaire romand, Code de procédure pénale suisse, 2e éd., Bâle 2019, n. 21 ad art. 385 CPP).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(cf. TF 6B_1447/2022 précité ; CREP 9 février 2024/108 et les références citées).</w:t>
      </w:r>
    </w:p>
    <w:p>
      <w:r>
        <w:rPr>
          <w:b/>
        </w:rPr>
        <w:t>E. 1.3</w:t>
      </w:r>
    </w:p>
    <w:p>
      <w:r>
        <w:t>L’art. 385 al. 2, 1re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 ci (TF 6B_1447/2022 précité). Elle ne saurait dès lors être complétée ou corrigée ultérieurement, l’art. 385 al. 2 CPP ne devant pas être appliqué</w:t>
      </w:r>
    </w:p>
    <w:p>
      <w:r>
        <w:t>- 5 - afin de détourner la portée de l’art. 89 al. 1 CPP, qui interdit la prolongation des délais fixés par la loi et n’autorise pas la partie à compléter un acte dépourvu de motivation (TF 6B_1447/2022 précité ; TF 6B_609/2021 du 19 juillet 2021 consid. 2.4 ; TF 6B_510/2020 du 15 septembre 2020 consid. 2.2 et les références citées).</w:t>
      </w:r>
    </w:p>
    <w:p>
      <w:r>
        <w:rPr>
          <w:b/>
        </w:rPr>
        <w:t>E. 2</w:t>
      </w:r>
    </w:p>
    <w:p>
      <w:r>
        <w:t>En l’espèce, on relèvera d’emblée que les différentes écritures complémentaires déposées par la recourante entre le 1er mai et le 5 juin 2024 sont irrecevables, dès lors qu’il est communément admis en procédure que la motivation d'un acte de recours doit être entièrement contenue dans l'acte de recours lui-même et ne saurait dès lors être complétée ou corrigée ultérieurement (TF 7B_57/2022 du 27 mars 2024 consid. 7.3.1 et les arrêts cités). Il faut ensuite constater que, dans son acte de recours, N.________ se limite, pour toute motivation, à demander une indemnité en dommages-intérêts de 10'000'000 fr., en indiquant avoir déposé plainte contre trois personnes, soit S.________, [...] et [...] et avoir produit au dossier diverses photographies. Elle soutient en outre qu’elle n’aurait pas été entendue par la police « entre le 10 janvier et le 17 avril 2024 », ce qui est clairement contredit par le procès-verbal d’audition- plainte de l’intéressée établi le 10 janvier 2024 par la Gendarmerie de [...] (cf. PV d’audition n° 1). Quoi qu’il en soit, le recours ne satisfait pas aux exigences de motivation de l’art. 385 al. 1 CPP. En effet, la recourante ne soulève aucun moyen critique à l’égard de l’ordonnance rendue par le Ministère public et n’explique pas en quoi, selon elle, les motifs sur lesquels cette autorité a fondé son prononcé seraient erronés ou en quoi ils devraient conduire à une décision différente. Un tel vice ne saurait de plus justifier qu’un délai supplémentaire lui soit fixé pour compléter son acte en application de l’art. 385 al. 2 CPP.</w:t>
      </w:r>
    </w:p>
    <w:p>
      <w:r>
        <w:rPr>
          <w:b/>
        </w:rPr>
        <w:t>E. 3</w:t>
      </w:r>
    </w:p>
    <w:p>
      <w:r>
        <w:t>Au vu de ce qui précède, le recours doit être déclaré irrecevable, sans échange d’écritures (art. 390 al. 2 CPP). Les frais de la procédure de recours, constitués en l’espèce du seul émolument d’arrêt (art. 422 al. 1 CPP), par 660 fr. (art. 20 al. 1 TFIP [tarif des frais de procédure et indemnités en matière pénale du 28</w:t>
      </w:r>
    </w:p>
    <w:p>
      <w:r>
        <w:t>- 6 - septembre 2010 ; BLV 312.03.1]), seront mis à la charge de la recourante, qui succombe (art. 428 al. 1 CPP). Le montant de 770 fr. déjà versé par celle-ci à titre de sûretés sera imputé sur ces frais (art. 383 al. 1 CPP ; art.</w:t>
      </w:r>
    </w:p>
    <w:p>
      <w:r>
        <w:rPr>
          <w:b/>
        </w:rPr>
        <w:t>E. 7</w:t>
      </w:r>
    </w:p>
    <w:p>
      <w:r>
        <w:t>TFIP), un montant de 110 fr. devant, par conséquent, lui être restitué. Par ces motifs, la Chambre des recours pénale prononce : I. Le recours est irrecevable. II. Les frais d’arrêt, par 660 fr. (six cent soixante francs), sont mis à la charge de N.________. III. Le montant de 770 fr. (sept cent septante francs) versé par N.________ à titre de sûretés est imputé sur les frais mis à sa charge au chiffre II ci-dessus et un solde d’un montant de 110 fr. (cent dix francs) lui est restitué. IV. L’arrêt est exécutoire. Le président : Le greffier : Du Le présent arrêt, dont la rédaction a été approuvée à huis clos, est notifié, par l'envoi d'une copie complète, à : - N.________, - Ministère public central, et communiqué à : - Mme la Procureure de l’arrondissement de La Côte, - M. S.________,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