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PE24.007816 vom 22. August 2025</w:t>
      </w:r>
    </w:p>
    <w:p>
      <w:r>
        <w:t>VD Tribunal cantonal, 2025-08-22, FR</w:t>
      </w:r>
    </w:p>
    <w:p>
      <w:r>
        <w:rPr>
          <w:b/>
        </w:rPr>
        <w:t xml:space="preserve">Quelle: </w:t>
      </w:r>
      <w:r>
        <w:t>https://mcp.opencaselaw.ch/entscheid/vd_gerichte_PE24.007816</w:t>
      </w:r>
    </w:p>
    <w:p>
      <w:r>
        <w:t>FR: VD_GERICHTE PE24.007816 du 22 août 2025</w:t>
      </w:r>
    </w:p>
    <w:p>
      <w:r>
        <w:t>IT: VD_GERICHTE PE24.007816 del 22 agosto 2025</w:t>
      </w:r>
    </w:p>
    <w:p>
      <w:pPr>
        <w:pStyle w:val="Heading2"/>
      </w:pPr>
      <w:r>
        <w:t>Erwägungen</w:t>
      </w:r>
    </w:p>
    <w:p>
      <w:r>
        <w:rPr>
          <w:b/>
        </w:rPr>
        <w:t>E. 21</w:t>
      </w:r>
    </w:p>
    <w:p>
      <w:r>
        <w:t>décembre 1937 ; RS 311.0) était en tous les cas acquise, puisque B.________ avait des raisons sérieuses de tenir de bonne foi ses déclarations pour vraies. C. Par acte du 16 juin 2025, A.________, par son conseil, a recouru contre cette ordonnance auprès de la Chambre de céans en concluant, sous suite de frais et dépens, principalement à son annulation et au renvoi de la cause au Ministère public afin qu’il complète l’instruction, en procédant notamment à sa propre audition, à celle de deux témoins</w:t>
      </w:r>
    </w:p>
    <w:p>
      <w:r>
        <w:t>- 6 - oculaires présents sur le terrain de basket le 16 mars 2024, ainsi qu’à celle de M.D.________, et ce en vue de la reddition d'une ordonnance pénale à l'encontre de B.________ ou de son renvoi en jugement. Subsidiairement, il a conclu à l'annulation de l'ordonnance querellée et au renvoi du dossier au Ministère public afin qu'il procède dans le sens des considérants. En tout état, A.________ a requis l’allocation d’une juste indemnité à titre de dépens pour la procédure de recours. Le 26 juin 2025, dans le délai imparti à cet effet par avis du 23 juin 2025, A.________ a déposé un montant de 770 fr. à titre de sûretés pour les frais qui pourraient être mis à sa charge en cas de rejet ou d’irrecevabilité du recours. Il n'a pas été ordonné d'échange d'écritures. En d roit : 1. 1.1 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en temps utile et dans les formes prescrites (art. 385 al. 1 CPP) auprès de l’autorité compétente, par la partie plaignante qui a qualité pour recourir (art. 382 al. 1 CPP), le recours est recevable.</w:t>
      </w:r>
    </w:p>
    <w:p>
      <w:r>
        <w:t>- 7 - 2. 2.1 Le recourant soutient qu’en refusant d’entendre deux témoins de l’épisode du 16 mars 2024 ainsi que le fils de son ex-compagne, le Procureur a porté une atteinte caractérisée au principe de la recherche de la vérité matérielle et à celui de la contradiction, violant ce faisant le droit d’être entendu sous l’angle du refus d’administrer des preuves pertinentes sans motivation suffisante (cf. art. 139 al. 2 et 318 CPP). 2.2 Le droit d'être entendu, garanti à l'art. 29 al. 2 Cst. (Constitution fédérale de la Confédération suisse du 18 avril 1999 ; RS 101), comprend notamment celui de produire ou de faire administrer des preuves, à condition qu'elles soient pertinentes et de nature à influer sur la décision à rendre (ATF 145 l 73 consid. 7.2.2.1 ; ATF 143 V 71 consid. 4.1 ; TF 6B_1049/2023 du 19 juillet 2024 consid. 1.1.1). 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147 IV 534 consid. 2.5.1 ; ATF 144 II 427 consid. 3.1.3 ; ATF 141 I 60 consid. 3.3).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ramener à modifier son opinion (ATF 144 II 427 consid. 3.1.3 ; TF 7B_691/2923 du 7 novembre 2023 consid. 3. 2. 1).</w:t>
      </w:r>
    </w:p>
    <w:p>
      <w:r>
        <w:t>- 8 -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2e éd., Bâle 2019, n. 19 ad art. 318 CPP). 2.3 En l’espèce, le cas 2 susmentionné ne se limite pas – comme semble le croire le recourant – au seul moment passé sur le terrain de basket le 16 mars 2024, mais concerne un ressenti de harcèlement de M.D.________, principalement par téléphone et messages, de sorte que l’audition des deux témoins n’est pas, à elle-seule, de nature à infirmer le comportement potentiellement adopté par le recourant à l’égard de son beau-fils. Il en va de même de l’audition du mineur M.D.________, dès lors qu’il s’est plaint à sa mère de l’attitude d’A.________ à son endroit ; on ne voit pas qu’au cours d’une audition il modifie sa version des faits. Le recourant ne soutient pas que M.D.________ n’aurait jamais tenu ces propos et a fortiori n’amène aucun élément qui permettrait de croire que B.________ aurait inventé ces reproches. Dans ces circonstances, soumettre le mineur à une audition pénale s’avère disproportionné en l’absence de tout élément qui permettrait de douter que la mère a uniquement rapporté les propos de son enfant et demandé en conséquence des mesures de protection, d’autant que celles-ci ont effectivement été ordonnées. En retenant que les propos rapportés par B.________ avaient suffisamment de fondement pour justifier le prononcé de mesures d’éloignement sur le plan civil, le Procureur a expliqué le motif du refus d’instruire davantage l’infraction, par appréciation anticipée des preuves, les moyens requis n’étant pas de nature à modifier son appréciation. Le grief doit donc être écarté.</w:t>
      </w:r>
    </w:p>
    <w:p>
      <w:r>
        <w:t>- 9 - 3. 3.1 Dans un deuxième moyen, le recourant se plaint d'une violation des art. 319 CPP en relation avec les art. 173, 174 et 303 CP. Il soutient que le Procureur a opté pour un classement précipité, à rebours de ses obligations d'instruction, et a ainsi nié l'existence de preuves matérielles objectives. La seule prise en compte des déclarations de B.________ et la remise d'un certificat médical prétendument partial ne seraient pas suffisants au regard du récit « contradictoire » de l'épisode du 16 mars 2024. 3.2 3.2.1 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La décision de classer la procédure doit être prise en application du principe in dubio pro duriore.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w:t>
      </w:r>
    </w:p>
    <w:p>
      <w:r>
        <w:t>- 10 - factuelle ou juridique, ce n'est pas à l'autorité d'instruction ou d'accusation mais au juge matériellement compétent qu'il appartient de se prononcer (ATF 146 IV 68 consid. 2.1, JdT 2020 IV 256 ; ATF 143 IV 241 consid. 2.2.1, JdT 2017 IV 357 ; TF 7B_630/2023 du 20 août 2024 consid. 3.2.1 ; TF 7B_652/2024 du 30 juillet 2024 consid. 4.1).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3.2.2 3.2.2.1 Aux termes de l'art. 173 ch. 1 CP, se rend coupable de diffamation quiconque, en s'adressant à un tiers, accuse une personne ou jette sur elle le soupçon de tenir une conduite contraire à l’honneur, ou de tout autre fait propre à porter atteinte à sa considération, ou propage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137 IV 313 consid. 2.1.1 ; ATF 132 IV 112 consid. 2.1). Il y a toujours atteinte à l'honneur lorsqu’on évoque une infraction pénale ou un comportement clairement réprouvé par les conceptions morales généralement admises (ATF 116 IV 205 consid. 2 ; TF 6B_178/2020 du 20 mars 2020 consid. 4.1 ; cf. aussi ATF 145 IV 462 consid. 4.2.2 et les références citées). Pour apprécier si une déclaration est attentatoire à l'honneur, il faut se fonder non pas sur le sens que lui donne la personne visée, mais sur une interprétation objective selon la signification qu'un destinataire</w:t>
      </w:r>
    </w:p>
    <w:p>
      <w:r>
        <w:t>- 11 - non prévenu doit, dans les circonstances d'espèce, lui attribuer (ATF 145 IV 462 consid. 4.2.3 ; ATF 137 IV 313 consid. 2.1.3).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 ; TF 6B_479/2022 du 9 février 2023 consid. 5.1.1). 3.2.2.2 L'art. 173 ch. 2 CP dispose que l’auteur n’encourt aucune peine s'il prouve que les allégations qu'il a articulées ou propagées sont conformes à la vérité ou qu'il a des raisons sérieuses de les tenir de bonne foi pour vraies. En revanche,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L'auteur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w:t>
      </w:r>
    </w:p>
    <w:p>
      <w:r>
        <w:t>- 12 - ce qui relève du fait ; sur cette base, le juge doit apprécier si ces éléments étaient suffisants pour croire à la véracité du propos, ce qui relève du droit (ATF 124 IV 149 consid. 3b ; TF 6B_767/2023 du 29 novembre 2023 consid. 4.6.1 ; TF 6B_777/2022 du 16 mars 2023 consid. 3.2 ; TF 6B_1296/2021 du 30 juin 2022 consid. 5.1.2).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précité consid. 3.1 ; TF 6B_450/2024 du 8 août 2024 consid. 1.1.4 et les références citées ; TF 6B_1461/2021 du 29 août 2022 consid. 2.1.2). 3.2.2.3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d’un officier de police qui doit faire un rapport, d’un témoin tenu de déposer, de la partie à un procès en tant qu'elle supporte le fardeau de l'allégation, et sous certaines conditions de l'avocat représentant une partie et du témoin qui déclare ce qu'il tient pour vrai (ATF 135 IV 177 consid. 4 ; ATF 131 IV 154 consid. 1.3.1 ; ATF 123 IV 97 consid. 2c/aa ; TF 6B_450/2024 du 8 août 2024 consid. 1.1.4 ; TF 6B_475/2020 du 31 août 2020 consid. 2.2.2 et les références citées). En effet, il s’agit, dans ces situations, de tenir dûment compte de la situation particulière de celui qui est tenu par la loi de s’exprimer, dès lors que dans</w:t>
      </w:r>
    </w:p>
    <w:p>
      <w:r>
        <w:t>- 13 -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 1.14 ad art. 173 CP). La jurisprudence admet donc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(TF 6B_475/2020 du 31 août 2020 consid. 2.2.2 ; TF 6B_541/2019 du 15 juillet 2019 consid. 2.2 et les références citées). Les faits justificatifs prévus par la partie générale du Code pénal, notamment ceux découlant de l'art. 14 CP, priment en principe la preuve libératoire au sens de l'art. 173 ch. 2 CP ; celle-ci n'entre en ligne de compte que lorsque les allégations litigieuses ne doivent pas déjà être considérées comme licites en raison d'un tel fait justificatif (ATF 135 IV 177 consid. 4). 3.2.3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ou quiconque propage de telles accusations ou de tels soupçons, alors qu'il en connaît l'inanité.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(TF</w:t>
      </w:r>
    </w:p>
    <w:p>
      <w:r>
        <w:t>- 14 - 6B_1040/2022 du 23 août 2023 consid. 3.1.1 ; TF 6B_1215/2020 du 22 avril 2021 consid. 3.1 ; TF 6B_1254/2019 du 16 mars 2020 consid. 6.1). Sur le plan objectif, la calomnie implique donc la formulation ou la propagation d'allégations de fait fausses, qui soient attentatoires à l'honneur de la personne visée (TF 6B_1040/2022 précité consid. 3.1.1 ; TF 6B_1254/2019 précité consid. 6.1).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 TF 6B_1040/2022 précité consid. 3.1.1 ; TF 6B_1254/2019 précité consid. 6.1). 3.2.4 Selon l'art. 303 al. 1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L'infraction de l'art. 303 CP est intentionnelle.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(Corboz, Les infractions en droit suisse, vol. II, 3e éd., Berne 2010, n. 17 ad art. 303 CP et n. 9 ad art. 304 CP ; CREP 12 août 2024/523 consid. 3.2.2). Celui qui dépose une dénonciation pénale contre une personne ne se rend pas coupable de dénonciation calomnieuse du seul fait que la procédure pénale ouverte consécutivement à la dénonciation a débouché sur une décision d'acquittement ou de classement (ATF 136 IV 170 consid. 2.2 ; TF</w:t>
      </w:r>
    </w:p>
    <w:p>
      <w:r>
        <w:t>- 15 - 6B_859/2022 du 6 mars 2023 consid. 3.1 ; TF 6B_1248/2021 du 16 août 2022 consid. 2.1.1). En tant que lex specialis, l’art. 303 CP, qui sanctionne la dénonciation calomnieuse, l’emporte sur l’art. 173 CP (Rieben/Mazou, in : Macaluso/Moreillon/Queloz [éd.], Commentaire romand, Code pénal II, 2e éd., Bâle 2025, n. 56 ad art. 173 CP et les références citées). De plus, selon le Tribunal fédéral, une condamnation pour dénonciation calomnieuse réprime en même temps la calomnie (idem, n. 25 ad art. 174 CP et les références citées). 3.3 3.3.1 En l'espèce, la plainte déposée par B.________ n’avait pas pour objectif de rendre A.________ méprisable et d’attenter à son honneur, de surcroît par la tenue de propos erronés, mais d’obtenir une protection et de dénoncer des infractions supposément commises à son encontre. Elle a ainsi agi afin de protéger ses intérêts. S'il est vrai que l'ordonnance pénale rendue par le Ministère public à l'encontre d'A.________ a été frappée d'une opposition de sa part et n'a donc pas force de chose jugée, il n'en demeure pas moins que le rapport médical établi par le Centre universitaire romand de médecine légale le 19 mars 2024 fait état des lésions constatées sur B.________, de sorte qu'on ne saurait retenir qu'elle a sciemment déposé une plainte pénale mensongère. C’est donc à juste titre que le Procureur a estimé à tout le moins que l’élément constitutif subjectif de l’infraction de dénonciation calomnieuse faisait défaut et qu’il a donc classé la procédure sur ce point. 3.3.2 S’agissant du cas 2, il faut en premier lieu constater que les assertions formulées par B.________ dans la procédure civile opposant les parties, selon lesquelles le recourant s'en serait pris physiquement et psychologiquement – en le harcelant – à M.D.________, respectivement qu'il aurait à plusieurs reprises porté atteinte à l'intégrité physique de B.________, sont de nature à être attentatoires à l'honneur du recourant, puisqu'elles évoquent des comportements pénalement répréhensibles.</w:t>
      </w:r>
    </w:p>
    <w:p>
      <w:r>
        <w:t>- 16 - Cela étant, les allégations reprochées à B.________ tombent sous le coup du fait justificatif de l’art. 14 CP, qui prime les preuves libératoires de l'art. 173 ch. 2 CP. En effet, il est patent que l’intéressée n'a fait qu'exposer les éléments qu'elle pensait être utiles à la protection de ses enfants et à la sienne, sans aller au-delà de ce qui était nécessaire et pertinent, et qu'elle s’est exprimée de bonne foi, au sens où l’entend la jurisprudence rendue à propos de l’art. 14 CP (cf. TF 6B_632/2022 du 6 mars 2023 consid. 2.5.1 et 2.5.2). Il s'en suit que ces assertions sont justifiées par le devoir d’alléguer des faits dans le cadre d’une procédure judiciaire. Pour ce motif, c’est à raison, mais par substitution de motifs, que le Ministère public a classé ce volet de la procédure. 4. En définitive, le recours, manifestement mal fondé, doit être rejeté sans échange d'écritures (art. 390 al. 2 CPP) et l’ordonnance entreprise confirmée par substitution de motifs. Les frais de la procédure de recours, constitués en l’espèce du seul émolument d’arrêt (art. 422 al. 1 CPP), par 1'650 fr. (art. 20 al. 1 TFIP [tarif des frais de procédure et indemnités en matière pénale du 28 septembre 2010 ; BLV 312.03.1]), seront mis à la charge du recourant, qui succombe (art. 428 al. 1 CPP). Pour le même motif, il n'y a pas lieu de lui octroyer une indemnité pour ses frais de conseil. L'avance de frais de 770 fr. qu’il a versée à titre de sûretés sera imputée sur les frais d'arrêt mis à sa charge (art. 7 TFIP), le solde en faveur de l’Etat s’élevant ainsi à 880 francs. Par ces motifs, la Chambre des recours pénale prononce : I. Le recours est rejeté. II. L'ordonnance du 23 mai 2025 est confirmée.</w:t>
      </w:r>
    </w:p>
    <w:p>
      <w:r>
        <w:t>- 17 - III. Les frais d'arrêt, par 1'650 fr. (mille six cent cinquante francs), sont mis à la charge d'A.________. IV. Le montant de 770 fr. (sept cent septante francs) versé par A.________ à titre de sûretés est imputé sur les frais mis à sa charge au chiffre III ci-dessus, et le solde dû à l’Etat par celui-ci s’élève à 880 fr. (huit cent huitante francs). V. L’arrêt est exécutoire. Le président : La greffière : Du Le présent arrêt, dont la rédaction a été approuvée à huis clos, est notifié, par l'envoi d'une copie complète, à : - Me Patrick Guy Dubois, avocat (pour A.________), - Me Angelo Ruggiero, avocat (pour B.________),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