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PE24.007254 vom 9. Juli 2024</w:t>
      </w:r>
    </w:p>
    <w:p>
      <w:r>
        <w:t>VD Tribunal cantonal, 2024-07-09, FR</w:t>
      </w:r>
    </w:p>
    <w:p>
      <w:r>
        <w:rPr>
          <w:b/>
        </w:rPr>
        <w:t xml:space="preserve">Quelle: </w:t>
      </w:r>
      <w:r>
        <w:t>https://mcp.opencaselaw.ch/entscheid/vd_gerichte_PE24.007254</w:t>
      </w:r>
    </w:p>
    <w:p>
      <w:r>
        <w:t>FR: VD_GERICHTE PE24.007254 du 9 juillet 2024</w:t>
      </w:r>
    </w:p>
    <w:p>
      <w:r>
        <w:t>IT: VD_GERICHTE PE24.007254 del 9 luglio 2024</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une partie plaignante qui a qualité pour recourir (art. 382 al. 1 CPP) et dans les</w:t>
      </w:r>
    </w:p>
    <w:p>
      <w:r>
        <w:t>- 5 - formes prescrites (art. 385 al. 1 CPP), le recours de X.________ est recevable.</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Le recourant invoque une violation des articles 309 et 310 al. 1 CPP aux motifs que la procureure aurait dû ouvrir une instruction pénale et vérifier la prétendue source des accusations de C.________ et Z.________ qui aurait constaté l'infraction reprochée à X.________ et déterminer les motivations et fondements de leurs accusations. En outre, il se prévaut d'une violation de l'art. 303 CP (Code pénal suisse du 21 décembre 1937 ; RS 311.0), subsidiairement de l'art. 173 CP, dans la mesure où, selon la jurisprudence fédérale, une personne serait considérée comme innocente lorsqu'elle a été libérée par un jugement d'acquittement ou par le prononcé d'un classement, ce qui serait son cas puisqu'il a bénéficié d'un classement.</w:t>
      </w:r>
    </w:p>
    <w:p>
      <w:r>
        <w:rPr>
          <w:b/>
        </w:rPr>
        <w:t>E. 2.2.1</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t>- 6 -</w:t>
      </w:r>
    </w:p>
    <w:p>
      <w:r>
        <w:rPr>
          <w:b/>
        </w:rPr>
        <w:t>E. 2.2.2</w:t>
      </w:r>
    </w:p>
    <w:p>
      <w:r>
        <w:t>A teneur de l’art. 303 ch. 1 CP, quiconque dénonce à l’autorité, comme auteur d’un crime ou d’un délit, une personne qu’il sait innocente, en vue de faire ouvrir contre elle une poursuite pénale, ou, de toute autre manière, ourdit des machinations astucieuses en vue de provoquer l’ouverture d’une poursuite pénale contre une personne qu’il sait innocente, est puni d’une peine privative de liberté de cinq ans au plus ou d’une peine pécuniaire. Sur le plan objectif, cette norme suppose qu’une communication imputant faussement à une personne la commission d’un crime ou d’un délit ait été adressée à l’autorité (ATF 132 IV 20 consid. 4.2 ; TF 6B_859/2022 du 6 mars 2023 consid. 3.1). La dénonciation consiste à imputer en fait à la personne dénoncée un comportement qui est, en droit, constitutif d’un crime ou d’un délit. Pour qu’il y ait dénonciation, il n’est pas nécessaire que l’auteur affirme, comme étant certain, que la personne</w:t>
      </w:r>
    </w:p>
    <w:p>
      <w:r>
        <w:t>- 7 - dénoncée a eu un tel comportement ; il suffit qu’il rapporte à l’autorité, à dessein, des faits suffisants pour que celle-ci conçoive un soupçon qui l’oblige à procéder à des investigations (Delnon/Rüdy, in : Niggli/Wiprächtiger [éd.], Basler Kommentar, Strafrecht II, 4e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classement. Le juge de la dénonciation calomnieuse est, sauf faits ou moyens de preuve nouveaux, lié par une telle décision (ATF 136 IV 170 consid. 2.1, JdT 2011 IV 102 ; TF 6B_859/2022 précité ; TF 6B_1248/2021 du 16 août 2022 consid. 2.1.1). L’élément constitutif subjectif de l’infraction implique que l’auteur sache que la personne qu’il dénonce est innocente. Il s’agit d’une connaissance au sens strict. Le dol éventuel ne suffit pas (ATF 136 IV 170 consid. 2.1 ; TF 6B_859/2022 précité consid. 3.2 ; TF 6B_1248/2021 précité).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consid. 2.2 ; TF 6B_859/2022 précité ; 6B_1248/2021 précité).</w:t>
      </w:r>
    </w:p>
    <w:p>
      <w:r>
        <w:rPr>
          <w:b/>
        </w:rPr>
        <w:t>E. 2.2.3</w:t>
      </w:r>
    </w:p>
    <w:p>
      <w:r>
        <w:t>Selon l'art. 173 CP se rend coupable de diffamation et sera, sur plainte, puni d’une peine pécuniaire, quiconque, en s'adressant à un tiers, aura accusé une personne ou jeté sur elle le soupçon de tenir une conduite contraire à l'honneur, ou de tout autre fait propre à porter atteinte à sa considération, ou quiconque aura propagé une telle accusation ou un tel soupçon (ch. 1). L’auteur n'encourra aucune peine s'il prouve que les allégations qu'il a articulées ou propagées sont conformes à la vérité ou qu'il avait des raisons sérieuses de les tenir de bonne foi</w:t>
      </w:r>
    </w:p>
    <w:p>
      <w:r>
        <w:t>- 8 - pour vraies (ch. 2).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Pour qu'il y ait diffamation ou calomnie, il faut que l'auteur s'adresse à un tiers. Est en principe considérée comme tiers toute personne autre que l'auteur et l'objet des propos qui portent atteinte à l'honneur (ATF 145 IV 462 consid. 4.3.3). En tant que lex specialis, l’art. 303 CP, qui sanctionne la dénonciation calomnieuse, l’emporte sur l’art. 173 CP (Dupuis et al., Petit commentaire, Code pénal, 2e éd., Bâle 2017, n. 56 ad art. 173 CP et les références citées).</w:t>
      </w:r>
    </w:p>
    <w:p>
      <w:r>
        <w:rPr>
          <w:b/>
        </w:rPr>
        <w:t>E. 2.3</w:t>
      </w:r>
    </w:p>
    <w:p>
      <w:r>
        <w:t>En l'espèce, s'il peut être donné acte au recourant que son innocence, soit l'élément constitutif objectif de l'infraction de dénonciation calomnieuse (art. 303 CP), a été prouvée par le prononcé de l'ordonnance de classement du 14 septembre 2023, son raisonnement ne peut être suivi quant à l'élément constitutif subjectif. En effet, il convient de se replacer dans le contexte dans lequel C.________ et Z.________ se trouvaient au moment de dénoncer les faits au Ministère public le 11 août 2015. Or, en l'occurrence, une source anonyme les aurait informés deux jours avant l’accident que le vendeur du véhicule s'était vanté de se le faire payer par une assurance après avoir tenté de le vendre depuis plusieurs mois. Cela étant, la dénonciation ne repose pas uniquement sur cette information anonyme. En effet, le prix de vente aurait été nettement supérieur à la valeur du marché, X.________ n'aurait apporté aucune preuve concrète du paiement et ne se serait plus manifesté durant deux mois après un entretien avec l’assureur le 11 juin 2015, lors duquel il se serait montré agressif. Compte tenu de ces éléments, C.________ et Z.________ pouvaient, de bonne foi, suspecter qu'une infraction avait été commise. Partant, il ne peut être établi qu'ils savaient que X.________ était innocent et qu'ils l'auraient dénoncé malgré cela.</w:t>
      </w:r>
    </w:p>
    <w:p>
      <w:r>
        <w:t>- 9 - Au vu de ce qui précède, c'est à bon droit que le Ministère public n'est pas entré en matière sur la plainte de X.________ et n'a pas ouvert d'instruction pour déterminer l'existence ou non de la source anonyme. On relèvera, à cet égard, que cet exercice aurait de toute façon été vain dès lors qu'il avait déjà été tenté dans le cadre de l'instruction ayant abouti à l'ordonnance de classement du 14 septembre 2023. En effet, la procureure en charge du dossier avait interpellé à deux reprises la compagnie d'assurance Y.________SA pour obtenir l'identité de cette source anonyme, ce qu'elle avait refusé de faire au motif que cette dernière voulait conserver l'anonymat. Enfin, il n'y pas lieu d'examiner si les conditions de l'art. 173 CP sont réalisées étant donné que l'infraction de dénonciation calomnieuse (art. 303 CP) est une lex specialis et que, comme indiqué ci- avant, ladite infraction n'est pas réalisée.</w:t>
      </w:r>
    </w:p>
    <w:p>
      <w:r>
        <w:rPr>
          <w:b/>
        </w:rPr>
        <w:t>E. 3</w:t>
      </w:r>
    </w:p>
    <w:p>
      <w:r>
        <w:t>En définitive, le recours de X.________ doit être rejeté et l’ordonnance du 18 avril 2024 confirmée. Vu le sort du recours, les frais de la procédure, constitués en l’espèce du seul émolument d'arrêt, par 990 fr. (art. 20 al. 1 TFIP [tarif des frais de procédure et indemnités en matière pénale du 28 septembre 2010 ; BLV 312.03.1]), seront mis à la charge du recourant, qui succombe (art. 428 al. 1 CPP). L'avance de frais de 770 fr. versée par le précité à titre de sûretés sera imputée sur les frais d'arrêt mis à sa charge (art. 7 TFIP), le solde en faveur de l’Etat s’élevant ainsi à 220 francs. Pour le même motif, aucune indemnité ne lui sera allouée pour les dépenses occasionnées par la procédure. Par ces motifs, la Chambre des recours pénale prononce : I. Le recours est rejeté. II. L'ordonnance du 18 avril 2024 est confirmée.</w:t>
      </w:r>
    </w:p>
    <w:p>
      <w:r>
        <w:t>- 10 - III. Les frais d'arrêt, par 990 fr. (neuf cent nonante francs) sont mis à la charge de X.________. IV. Le montant de 770 fr. (sept cent septante francs) versé par X.________ à titre de sûretés est imputé sur les frais mis à sa charge au chiffre III ci-dessus, et le solde dû à l’Etat par celui-ci s’élève à 220 fr. (deux cent vingt francs). V. L’arrêt est exécutoire. La vice-présidente : La greffière : Du Le présent arrêt, dont la rédaction a été approuvée à huis clos, est notifié, par l'envoi d'une copie complète, à : - Me Tony Donnet-Monay, avocat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