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PE24.007133 vom 19. Juli 2024</w:t>
      </w:r>
    </w:p>
    <w:p>
      <w:r>
        <w:t>VD Tribunal cantonal, 2024-07-19, FR</w:t>
      </w:r>
    </w:p>
    <w:p>
      <w:r>
        <w:rPr>
          <w:b/>
        </w:rPr>
        <w:t xml:space="preserve">Quelle: </w:t>
      </w:r>
      <w:r>
        <w:t>https://mcp.opencaselaw.ch/entscheid/vd_gerichte_PE24.007133</w:t>
      </w:r>
    </w:p>
    <w:p>
      <w:r>
        <w:t>FR: VD_GERICHTE PE24.007133 du 19 juillet 2024</w:t>
      </w:r>
    </w:p>
    <w:p>
      <w:r>
        <w:t>IT: VD_GERICHTE PE24.007133 del 19 luglio 2024</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w:t>
      </w:r>
    </w:p>
    <w:p>
      <w:r>
        <w:rPr>
          <w:b/>
        </w:rPr>
        <w:t>E. 1.2</w:t>
      </w:r>
    </w:p>
    <w:p>
      <w:r>
        <w:t>En l’espèce, déposé en temps utile devant l’autorité compétente par un détenu qui a qualité pour recourir (art. 382 al. 1 CPP), dans le délai et les formes prescrites (art. 396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1er janvier 2024 [RO 2023 p. 468]). Les conditions prévues par l’art. 221 al. 1 CPP sont alternatives et non cumulatives (TF 7B_386/2024 du 30 avril 2024 consid. 2.3).</w:t>
      </w:r>
    </w:p>
    <w:p>
      <w:r>
        <w:rPr>
          <w:b/>
        </w:rPr>
        <w:t>E. 2.1</w:t>
      </w:r>
    </w:p>
    <w:p>
      <w:r>
        <w:t>; ATF 143 IV 316 consid. 3.1 et 3.2). Il incombe en effet au juge du fond de résoudre les questions de qualification juridique des faits poursuivis, d'apprécier la culpabilité du prévenu, ainsi que la valeur probante des moyens de preuve et/ou autres déclarations (TF 7B_683/2024 du 10 juillet 2024 consid. 2.2.2 ; TF 1B_229/2023 du 16 mai 2023 consid. 2 ; TF 1B_55/2023 du 16 février 2023 consid. 2.1).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(TF 7B_683/2024 précité consid. 2.2.2 ; TF 7B_430/2024 du 6 mai 2024 consid. 4.2.1 ; TF 7B_868/2023 du 1er décembre 2023 consid. 4.1).</w:t>
      </w:r>
    </w:p>
    <w:p>
      <w:r>
        <w:rPr>
          <w:b/>
        </w:rPr>
        <w:t>E. 2.2</w:t>
      </w:r>
    </w:p>
    <w:p>
      <w:r>
        <w:t>; Coquoz, in : Jeanneret et al. [éd.], Commentaire romand, Code de procédure pénale suisse, 2e éd. 2019, n. 2 ad art. 237 CPP). Le juge de la détention peut également, le cas échéant, assortir les mesures de substitution de toute condition propre à en garantir l’efficacité (ATF 145 IV 503 consid. 3.1).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w:t>
      </w:r>
    </w:p>
    <w:p>
      <w:r>
        <w:t>- 10 - Schengen (ATF 145 IV 503 consid. 3.2 et 3.3.2 ; TF 7B_1011/2023 du 11 janvier 2024 consid. 5.3 et les références citées).</w:t>
      </w:r>
    </w:p>
    <w:p>
      <w:r>
        <w:rPr>
          <w:b/>
        </w:rPr>
        <w:t>E. 3.1</w:t>
      </w:r>
    </w:p>
    <w:p>
      <w:r>
        <w:t>Le recourant conteste l’existence de soupçons suffisants de la commission d’un crime ou d’un délit à son encontre. Il fait notamment valoir qu’aucune trace de cocaïne n’a été retrouvée sur lui, que malgré une observation policière de longue date, la police n’est pas parvenue à le prendre en flagrant délit, que la drogue saisie ne se trouvait pas dans la pièce de l’appartement qu’il occupait, que X.________ et A.________ ont reconnu que la marijuana et la cocaïne saisies dans l’appartement leurs appartenaient et que A.________ a confirmé que le recourant n’était pas impliqué dans le trafic de stupéfiants.</w:t>
      </w:r>
    </w:p>
    <w:p>
      <w:r>
        <w:rPr>
          <w:b/>
        </w:rPr>
        <w:t>E. 3.2</w:t>
      </w:r>
    </w:p>
    <w:p>
      <w:r>
        <w:t>Conformément à l’art. 221 al. 1 CPP rappelé plus haut, il doit exister des charges suffisantes, soit de sérieux soupçons de culpabilité, à l'égard de l'intéressé. Selon la jurisprudence, il n'appartient pas au juge de la détention de procéder à une pesée complète des éléments à charge et</w:t>
      </w:r>
    </w:p>
    <w:p>
      <w:r>
        <w:t>- 6 - à décharge et d'apprécier la crédibilité des personnes qui mettent en cause le prévenu. Il doit uniquement examiner s'il existe des indices sérieux de culpabilité justifiant une telle mesure (ATF 143 IV 330 consid.</w:t>
      </w:r>
    </w:p>
    <w:p>
      <w:r>
        <w:rPr>
          <w:b/>
        </w:rPr>
        <w:t>E. 3.3</w:t>
      </w:r>
    </w:p>
    <w:p>
      <w:r>
        <w:t>En l’espèce, il ressort du rapport établi le 27 juin 2024 que la police a été informée que des trafiquants nigérians en charge de fournir d’autres compatriotes en cocaïne logeaient au [...]. La surveillance mise en place a permis de constater que le recourant, X.________ et A.________ occupaient clandestinement l’appartement en question. Elle a également permis de déterminer que les trois intéressés se rendaient régulièrement sur différents points de chute connus pour abriter des trafiquants nigérians et d’observer « bon nombre d’échanges furtifs ». Le recourant a été interpellé alors qu’il venait de quitter le logement du [...]. La perquisition des lieux a permis la découverte et la saisie de 18 fingers de cocaïne pour un poids total brut de 233 grammes, un lot de boulettes de cocaïne pour</w:t>
      </w:r>
    </w:p>
    <w:p>
      <w:r>
        <w:t>- 7 - un poids total brut de 20 grammes, 2’080 CHF et 150 EUR en espèces, divers téléphones portables, un carnet de comptabilité ainsi qu’un sachet minigrip contenant 4 grammes de marijuana. À ce stade précoce de l’enquête, ces éléments suffisent amplement pour retenir que le recourant est très vraisemblablement impliqué dans un trafic de cocaïne et cela même s’il n’était pas en possession de stupéfiants au moment de son interpellation. Le fait que ses comparses aient déclaré que la cocaïne saisie leur appartenait n’exclut pas que le recourant ait pris une part active au trafic en les hébergeant en connaissance de cause ou en s’occupant plus généralement de la logistique. À cet égard, on peut d’ailleurs relever que X.________ a indiqué qu’il versait un loyer de 500 fr. au recourant (PV aud. 1, R. 7) et que certaines réponses de ce dernier – notamment lorsqu’il s’est empressé d’indiquer que l’armoire où se trouvait la cocaïne ne lui appartenait pas, alors que la police n’avait jusqu’alors pas fait allusion à cette armoire (PV aud. 2, R.11) – laissent clairement penser qu’il savait à tout le moins où se trouvaient les stupéfiants. On ne saurait enfin considérer que les déclarations de A.________ – qui s’est borné à indiquer qu’il ne pensait pas que ses coprévenus étaient impliquées dans le trafic (PV aud. 6 lignes 73 ss) – suffisent à disculper le recourant. Le moyen doit donc être rejeté.</w:t>
      </w:r>
    </w:p>
    <w:p>
      <w:r>
        <w:rPr>
          <w:b/>
        </w:rPr>
        <w:t>E. 4.1</w:t>
      </w:r>
    </w:p>
    <w:p>
      <w:r>
        <w:t>Le recourant conteste le risque de fuite. Il fait valoir qu’il a dû quitter le Nigéria à la suite d’un conflit familial dans le cadre duquel il a été menacé de mort par son oncle et qu’il attend par ailleurs de pouvoir effectuer en Suisse des opérations de ses deux genoux. Il serait ainsi fort peu probable qu’il tente de se soustraire aux poursuites pénales en fuyant la Suisse pour rejoindre son pays d’origine ou se réfugie dans la clandestinité.</w:t>
      </w:r>
    </w:p>
    <w:p>
      <w:r>
        <w:rPr>
          <w:b/>
        </w:rPr>
        <w:t>E. 4.2</w:t>
      </w:r>
    </w:p>
    <w:p>
      <w:r>
        <w:t>Selon l'art. 221 al. 1 let. a CPP, la détention provisoire et la détention pour des motifs de sûreté peuvent être ordonnées s'il y a sérieusement lieu de craindre que le prévenu se soustraie à la procédure pénale ou à la sanction prévisible en prenant la fuite.</w:t>
      </w:r>
    </w:p>
    <w:p>
      <w:r>
        <w:t>- 8 - D'après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TF 7B_234/2024 du 14 mars 2024 consid. 4.2.1).</w:t>
      </w:r>
    </w:p>
    <w:p>
      <w:r>
        <w:rPr>
          <w:b/>
        </w:rPr>
        <w:t>E. 4.3</w:t>
      </w:r>
    </w:p>
    <w:p>
      <w:r>
        <w:t>En l’espèce, on relèvera tout d’abord que les motifs qui ont conduit le recourant à quitter le Nigéria ainsi que la réalité d’une prochaine opération de ses genoux en Suisse ne sont nullement établis. Pour le reste, le recourant est un ressortissant du Nigéria. Il ne dispose d’aucun titre de séjour valable en Suisse. Il n’a aucune attache particulière en Suisse où il vit clandestinement depuis 2016. Sa famille se trouve encore au Nigéria. Compte tenu de la gravité des faits qui lui sont reprochés, il existe donc un risque manifeste qu’en cas de remise en liberté, le recourant cherche à quitter le pays ou se réfugie dans la clandestinité. Le moyen doit donc être rejeté.</w:t>
      </w:r>
    </w:p>
    <w:p>
      <w:r>
        <w:rPr>
          <w:b/>
        </w:rPr>
        <w:t>E. 5</w:t>
      </w:r>
    </w:p>
    <w:p>
      <w:r>
        <w:t>Le recourant conteste également l’existence d’un risque de collusion. Les conditions d’application de l’art. 221 al. 1 CPP étant subsidiaire, il n’est pas nécessaire d’analyser ce grief.</w:t>
      </w:r>
    </w:p>
    <w:p>
      <w:r>
        <w:rPr>
          <w:b/>
        </w:rPr>
        <w:t>E. 6.1</w:t>
      </w:r>
    </w:p>
    <w:p>
      <w:r>
        <w:t>À titre subsidiaire, le recourant sollicite d’être mis au bénéfice de mesures de substitution sous la forme d’une assignation à résidence, de l’obligation de se présenter régulièrement à un service administratif, respectivement l’obligation de se soumettre à des contrôles.</w:t>
      </w:r>
    </w:p>
    <w:p>
      <w:r>
        <w:rPr>
          <w:b/>
        </w:rPr>
        <w:t>E. 6.2</w:t>
      </w:r>
    </w:p>
    <w:p>
      <w:r>
        <w:t>Conformément au principe de la proportionnalité ancré à l'art. 36 al. 3 Cst. (Constitution fédérale de la Confédération suisse du 18 avril 1999 ; RS 101), il convient d'examiner les possibilités de mettre en œuvre</w:t>
      </w:r>
    </w:p>
    <w:p>
      <w:r>
        <w:t>- 9 - d'autres solutions moins dommageables que la détention (règle de la nécessité), qui représente l'ultima ratio (ATF 140 IV 74 consid. 2.2, JdT 2014 IV 289 ; TF 7B_1025/2023 du 23 janvier 2024 consid. 3.4.2). Cette exigence est concrétisée par l'art. 237 al. 1 CPP, qui prévoit que le tribunal compétent ordonne une ou plusieurs mesures moins sévères en lieu et place de la détention si ces mesures permettent d'atteindre le même but que la détention (ATF 145 IV 503 consid. 3.1 ; TF 7B_371/2024 du 23 avril 2024 consid. 5.2).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w:t>
      </w:r>
    </w:p>
    <w:p>
      <w:r>
        <w:rPr>
          <w:b/>
        </w:rPr>
        <w:t>E. 6.3</w:t>
      </w:r>
    </w:p>
    <w:p>
      <w:r>
        <w:t>En l’espèce, les mesures de substitution proposées par le recourant ne sont pas aptes à pallier le risque de fuite qu’il présente. Une assignation à résidence ou une obligation de se présenter régulièrement auprès d’une autorité dépendraient uniquement de sa bonne volonté et leur violation ne pourrait être constatée qu’a posteriori. Le recourant n’explique en outre pas ce qu’il entend par une « obligation de se soumettre à des contrôles ». On ne voit au demeurant aucune autre mesure de substitution qui permettrait de pallier le risque de fuite présenté par le recourant. Au surplus, la durée de la détention prononcée ne dépassera pas la peine encourue par le recourant en cas de condamnation. Le principe de proportionnalité n’a donc pas été violé et le grief doit être rejeté.</w:t>
      </w:r>
    </w:p>
    <w:p>
      <w:r>
        <w:rPr>
          <w:b/>
        </w:rPr>
        <w:t>E. 7</w:t>
      </w:r>
    </w:p>
    <w:p>
      <w:r>
        <w:t>En définitive, le recours, manifestement mal fondé, doit être rejeté sans échange d’écritures (art. 390 al. 2 CPP) et l’ordonnance entreprise confirmée. Me Pascal Martin a produit une liste des opérations faisant état de 4 heures d’activité nécessaire d’avocat, en précisant qu’il n’est pas soumis à la TVA. Il n’y a pas lieu de s’en écarter. Les honoraires s’élèveront à 720 heures au tarif horaire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14 fr. 40. L’indemnité d’office s’élève au total à 735 fr. en chiffres ronds. Les frais de la procédure de recours, qui sont constitués en l’espèce de l’émolument d’arrêt, par 1’100 fr. (art. 20 al. 1 TFIP), et de l’indemnité due au défenseur d’office (art. 422 al. 1 et 2 let. a CPP), par</w:t>
      </w:r>
    </w:p>
    <w:p>
      <w:r>
        <w:t>- 11 - 735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28 juin 2024 est confirmée. III. L’indemnité allouée à Me Pascal Martin, défenseur d’office d’U.________, est fixée à 735 fr. (sept cent trente-cinq francs). IV. Les frais d’arrêt, par 1’100 fr. (mille cent francs), ainsi que l’indemnité allouée à Me Pascal Martin, part. 735 fr. (sept cent trente-cinq francs), sont mis à la charge d’U.________. V. Le remboursement à l’Etat de l’indemnité allouée au chiffre III ci-dessus sera exigible d’U.________ dès que sa situation financière le permettra. VI. L’arrêt est exécutoire. La vice-présidente : Le greffier :</w:t>
      </w:r>
    </w:p>
    <w:p>
      <w:r>
        <w:t>- 12 - Du Le présent arrêt, dont la rédaction a été approuvée à huis clos, est notifié, par l'envoi d'une copie complète, à : - Me Pascal Martin, avocat (pour U.________),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