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PE24.007097 vom 14. August 2024</w:t>
      </w:r>
    </w:p>
    <w:p>
      <w:r>
        <w:t>VD Tribunal cantonal, 2024-08-14, FR</w:t>
      </w:r>
    </w:p>
    <w:p>
      <w:r>
        <w:rPr>
          <w:b/>
        </w:rPr>
        <w:t xml:space="preserve">Quelle: </w:t>
      </w:r>
      <w:r>
        <w:t>https://mcp.opencaselaw.ch/entscheid/vd_gerichte_PE24.007097</w:t>
      </w:r>
    </w:p>
    <w:p>
      <w:r>
        <w:t>FR: VD_GERICHTE PE24.007097 du 14 août 2024</w:t>
      </w:r>
    </w:p>
    <w:p>
      <w:r>
        <w:t>IT: VD_GERICHTE PE24.007097 del 14 agosto 2024</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Constituent notamment des décisions susceptibles de recours selon l'art. 393 al. 1 let. b CPP la suspension provisoire de la procédure (art. 329 al. 2 CPP), le renvoi de l'acte d'accusation au Ministère public (art. 329 al. 2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 JdT 2016 III 63 consid. 1.1).</w:t>
      </w:r>
    </w:p>
    <w:p>
      <w:r>
        <w:t>- 5 - Ce principe souffre cependant certaines exceptions, ainsi au regard de la notion de préjudice irréparable, décrite ci-après. En d’autres termes, les ordonnances, les décisions et les actes de procédure des tribunaux de première instance rendus par la direction de la procédure ne peuvent pas faire l'objet d'un recours au sens de l’art. 393 al. 1 let. b CPP, sauf s'ils sont susceptibles de causer un préjudice irréparable, cette notion étant la même que celle de l’art. 78 LTF (Loi sur le Tribunal fédéral du 17 juin 2005 ; RS 173.110) (ATF 143 IV 175 consid. 2.2 et les références citées ; JdT 2016 III 63 consid. 1.1). Selon la jurisprudence, la décision prise avant l'ouverture des débats par la direction de la procédure du tribunal pénal de première instance de refuser la désignation d'un défenseur d'office est susceptible de causer un préjudice irréparable ; cette décision est, par conséquent, immédiatement attaquable par la voie du recours selon l'art. 393 al. 1 let. b CPP (ATF 140 IV 202 consid. 2).</w:t>
      </w:r>
    </w:p>
    <w:p>
      <w:r>
        <w:rPr>
          <w:b/>
        </w:rPr>
        <w:t>E. 1.2</w:t>
      </w:r>
    </w:p>
    <w:p>
      <w:r>
        <w:t>En l’espèce, par ses conclusions 1 et 2, le recourant demande l’annulation du prononcé attaqué et sa réforme en ce sens qu’un défenseur d’office lui soit désigné. Au vu des principes rappelés ci-dessus, le recours est ouvert contre le refus de désigner à L.________ un défenseur d’office, ce refus étant susceptible de lui causer un préjudice irréparable. Interjeté devant l'autorité compétente, soit la Chambre des recours pénale du Tribunal cantonal (art. 13 LVCPP [loi vaudoise d'introduction du Code de procédure pénale suisse du 19 mai 2009 ; BLV 312.01] ; art. 80 LOJV [loi vaudoise d'organisation judiciaire du 12 décembre 1979 ; BLV 173.01]), dans les formes prescrites (art. 385 al. 1 CPP) et en temps utile, le recours est recevable, sous réserve de ce qui suit (cf. infra, consid. 2.1.2). La conclusion 3 tend à la récusation de la première juge et sera donc traitée comme une requête de récusation au sens de l’art. 58 CPP. Comme c’est l'autorité de recours dans sa composition collégiale à trois juges qui est compétente en matière de récusation (art. 13 al. 1 LVCPP [Loi d’introduction du Code de procédure pénale suisse du 19 mai</w:t>
      </w:r>
    </w:p>
    <w:p>
      <w:r>
        <w:t>- 6 - 2009 ; BLV 312.01]) (CREP 27 avril 2021/392 ; 3 juillet 2017/440 et réf. cit.), le présent arrêt sera rendu par la Chambre des recours in corpore. Quant à la conclusion 4, qui tend au « transfert » de la cause au « Tribunal cantonal administratif », elle est irrecevable, car exorbitante à l’objet du litige ; au demeurant, elle est infondée, car lorsque des autorités administratives sont instituées en vue de la poursuite et du jugement des contraventions, elles ont les attributions du Ministère public (cf. art. 357 CPP), et le Tribunal de police est compétent pour connaître des oppositions aux prononcés rendus par l’autorité municipale ou par le préfet (art. 7 al. 2 de la loi sur les contraventions du 19 mai 2009 ; LContr ; BLV 312.11). S’agissant enfin des déterminations de L.________ du 29 juillet 2024 sur la prise de position de la première juge, qui lui a été transmise le 26 juillet 2024, elles sont recevables, en tant que déterminations spontanées (cf. ATF 142 III 47 consid. 4.1.1 ; TF 6B_240/2022 du 16 mars 2023 consid. 1.1.2 ; TF 6B_1035/2022 du 12 janvier 2023 consid. 3.3.1).</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2024 consid. 2.2 et les références citées). Les critères énoncés par l'art. 132 al. 1, let. b, 2 et 3 CPP reprennent largement la jurisprudence du Tribunal fédéral en matière d'assistance judiciaire, rendue sur la base des art. 29 al. 3 Cst et 6 ch. 3 let. c CEDH (ATF 143 I 164 consid. 3.5 ; TF 7B_839/2023 précité consid.</w:t>
      </w:r>
    </w:p>
    <w:p>
      <w:r>
        <w:rPr>
          <w:b/>
        </w:rPr>
        <w:t>E. 2.1.1</w:t>
      </w:r>
    </w:p>
    <w:p>
      <w:r>
        <w:t>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7B_51/2024 du 25 avril 2024 consid. 2.2.2 ; TF 6B_1447/2022 du 14 mars 2023 consid. 1.1 et les références citées).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w:t>
      </w:r>
    </w:p>
    <w:p>
      <w:r>
        <w:t>- 7 -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du 14 mars 2023 consid. 1.1 et les références citées ; CREP 12 avril 2024/277 consid. 1.2 ; CREP 8 avril 2024/262 et les références citées).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6B_1447/2022 précité).</w:t>
      </w:r>
    </w:p>
    <w:p>
      <w:r>
        <w:rPr>
          <w:b/>
        </w:rPr>
        <w:t>E. 2.1.2</w:t>
      </w:r>
    </w:p>
    <w:p>
      <w:r>
        <w:t>En l’espèce, hormis les conclusions citées supra, le recours contient un énoncé des faits – soit la mention de la demande de L.________ du 4 avril 2024 tendant à la désignation d’un défenseur d’office, de l’interpellation de la présidente du 9 avril 2024, de la réponse du recourant du 12 avril 2024 à cette interpellation (exposant en résumé les motifs pour lesquels il maintenait sa demande de désignation d’un défenseur d’office) et le prononcé du 21 mai 2024 – ainsi que la citation de l’art. 136 CPP, lequel n’est du reste pas applicable au recourant, puisque cette disposition traite de l’assistance judiciaire gratuite pour la partie plaignante. Dans l’exposé des faits présenté par L.________, seuls deux points énoncés sous lettre E concernent le prononcé attaqué (les trois autres concernant la demande de récusation). Même si elle est très</w:t>
      </w:r>
    </w:p>
    <w:p>
      <w:r>
        <w:t>- 8 - succincte, on admettra que la motivation du recours relative aux deux points portant sur le prononcé attaqué permet de saisir les failles que L.________ croit déceler dans le raisonnement de la présidente dans son prononcé du 21 mai 2024 et qu’elle répond ainsi aux exigences de l’art. 385 CPP.</w:t>
      </w:r>
    </w:p>
    <w:p>
      <w:r>
        <w:rPr>
          <w:b/>
        </w:rPr>
        <w:t>E. 2.2</w:t>
      </w:r>
    </w:p>
    <w:p>
      <w:r>
        <w:t>;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w:t>
      </w:r>
    </w:p>
    <w:p>
      <w:r>
        <w:t>- 10 -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TF 7B_839/2023 précité consid. 2.2 ; TF 7B_124/2023 du 25 juillet 2023 consid. 2.1.1).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7B_839/2023 précité consid. 2.2 ; 7B_611/2023 du 20 décembre 2023 consid. 3.2.1 ; TF 7B_124/2023 précité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ATF 139 III 396 consid. 1.2 ; 7B_839/2023 précité consid. 2.2 ; TF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7B_611/2023 précité consid. 3.2.1; 7B_124/2023 précité consid. 2.1.2).</w:t>
      </w:r>
    </w:p>
    <w:p>
      <w:r>
        <w:t>- 11 -</w:t>
      </w:r>
    </w:p>
    <w:p>
      <w:r>
        <w:rPr>
          <w:b/>
        </w:rPr>
        <w:t>E. 2.2.1</w:t>
      </w:r>
    </w:p>
    <w:p>
      <w:r>
        <w:t>Le recourant, dans le passage précité (cf. mémoire de recours, lettre E), invoque premièrement « que l’affaire n’est pas de peu de gravité, sachant qu’une autorité publique et deux entités privées puissantes sont concernées » et secondement « que l’affaire en question est très complexe, car elle implique des procédures administratives de droit public ». Dans ses déterminations spontanées du 29 juillet 2024, il indique, s’agissant du fait que la présidente a relevé dans le prononcé querellé qu’il ressortait des nombreuses correspondances qu’il avait adressées à la direction de la procédure depuis l’ouverture de l’enquête qu’il était parfaitement à même d’assumer sa défense seul dans cette affaire, qu’«aucune disposition légale ne prévoit de ne pas octroyer l’assistance judiciaire à une partie qui sait correspondre ». Il produit également la copie d’un courrier qu’il a adressé au Tribunal d’arrondissement de Lausanne le 14 juillet 2024, estimant que « le faux dans les titres ayant permis à la Commission de police de [l]e condamner par le biais de l’ordonnance pénale contestée dans la présente affaire, aurait dû faire l’objet d’une dénonciation au sens de l’art. 302 CPP auprès du Ministère public central tant par le Président de la Commission de police que par la Juge du Tribunal d’arrondissement de Lausanne ayant traité [son] affaire. ». Par ailleurs, L.________ relève que la Commission aurait violé la protection de ses données personnelles en transmettant son courrier d’opposition dans la présente affaire à des tiers. Il déclare ainsi maintenir fermement sa requête et sollicite « l’ouverture d’une enquête par un Juge instructeur auprès de la Commission de police et du Tribunal d’arrondissement de Lausanne, afin de clarifier, tant l’application de l’art. 302 CPP que le respect de [ses] droits fondamentaux, en particulier l’art.</w:t>
      </w:r>
    </w:p>
    <w:p>
      <w:r>
        <w:t>- 9 - 29 al. 3 Cst. ainsi que les vices de procédures constatés dans [sa] condamnation par la Commission de police. ».</w:t>
      </w:r>
    </w:p>
    <w:p>
      <w:r>
        <w:rPr>
          <w:b/>
        </w:rPr>
        <w:t>E. 2.2.2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2.2.3</w:t>
      </w:r>
    </w:p>
    <w:p>
      <w:r>
        <w:t>Le recourant a été condamné à une amende de 80 fr. pour avoir stationné à deux reprises son véhicule sur des places mises à ban au sens de l’art. 258 al. 1 CPC, le contrevenant à une telle mise à ban étant pénalement punissable, sur dénonciation (Bohnet, in : Bohnet/Haldy/Jeandin/Schweizer/Tappy (éd.), Commentaire romand, Code de procédure civile, 2e éd., 2019, n. 12 ad art. 258 CPC et les références citées). Dans le canton de Vaud, c’est l’autorité municipale qui est compétente pour la répression de la contravention à une mise à ban, conformément à la loi sur les contraventions (art. 44 CDPJ [Code de droit privé judiciaire vaudois du 12 janvier 2010 ; BLV 211.02]). La peine encourue par le recourant est donc une amende, et d’un montant très faible, de l’ordre de quelques dizaines de francs. Il s’agit donc manifestement d’un cas bagatelle au sens où l’entend la jurisprudence précitée. Il ressort au surplus du dossier que le recourant exerce, selon le formulaire qu’il a rempli pour l’obtention de l’assistance judiciaire, la profession de fiduciaire et que, comme l’a relevé à juste titre la première juge – sans être contredite sur ce point –, il a adressé plusieurs courriers motivés à la direction de la procédure, dont on peut déduire qu’il maîtrise la langue française et qu’il est subjectivement parfaitement apte à faire valoir ses arguments, notamment en lien avec le prétendu vice qu’il a invoqué affectant la dénonciation et le fait qu’il ait été remédié à ce vice postérieurement. Quant à la difficulté objective de la cause, invoquée par l’intéressé dans son courrier du 12 avril 2024, elle est inexistante. Il s’agira en effet pour la première juge de vérifier la validité de la mise à ban et d’examiner si le recourant y a contrevenu à deux reprises en stationnant son véhicule à l’endroit visé par ladite mise à ban. Le recourant fait valoir que « deux entités privées puissantes sont concernées ». On ne voit pas en quoi le fait que la propriétaire de l’immeuble ayant procédé à la mise à ban soit une fondation, et qu’elle soit représentée par une société, y changerait quoi que ce soit. Il invoque en outre que l’affaire « implique des procédures administratives de droit public ». Le fait que ce soit une autorité administrative qui ait été instituée, en droit vaudois, pour poursuivre et juger la contravention en</w:t>
      </w:r>
    </w:p>
    <w:p>
      <w:r>
        <w:t>- 12 - cause n'est pas de nature à rendre nécessaire l’intervention d’un avocat. Enfin, le recourant ne fait pas valoir que l’issue de la procédure pourrait avoir une importance particulière pour lui, et on ne voit pas que ce puisse être le cas. Manifestement mal fondés, les arguments du recourant doivent être rejetés dans la mesure où ils sont recevables. Au surplus, force est de constater que la requête de L.________ tendant à « l’ouverture d’une enquête par un Juge instructeur auprès de la Commission de police et du Tribunal d’arrondissement de Lausanne, afin de clarifier, tant l’application de l’art. 302 CPP (ndr : obligation de dénoncer) que le respect de [ses] droits fondamentaux, en particulier l’art. 29 al. 3 Cst. (ndr : assistance judiciaire) ainsi que les vices de procédures constatés dans [sa] condamnation par la Commission de police » est dépourvue de pertinence, car étrangère à la question de l’assistance judiciaire, seule litigieuse. Au demeurant, elle a trait – pour autant qu’on le comprenne – aux prétendus vices de procédure entachant sa condamnation par la Commission, et fait donc l’objet de la question de fond que devra trancher la première juge. Il en va de même de la prétendue violation de la protection des données personnelles du recourant en lien avec la transmission par la Commission de son courrier d’opposition à des tiers.</w:t>
      </w:r>
    </w:p>
    <w:p>
      <w:r>
        <w:rPr>
          <w:b/>
        </w:rPr>
        <w:t>E. 3</w:t>
      </w:r>
    </w:p>
    <w:p>
      <w:r>
        <w:t>De la récusation</w:t>
      </w:r>
    </w:p>
    <w:p>
      <w:r>
        <w:rPr>
          <w:b/>
        </w:rPr>
        <w:t>E. 3.1</w:t>
      </w:r>
    </w:p>
    <w:p>
      <w:r>
        <w:t>Le recourant requiert la récusation de la présidente appelée à statuer sur son opposition à l’ordonnance pénale du 29 février 2024, au motif que, du fait qu’elle a rendu la décision présentement attaquée, elle « se trouve en conflit d’intérêt », que « sa neutralité pour émettre un jugement » n’est « dès lors plus garantie » et que ses « droits civiques de défense » sont ainsi compromis (cf. mémoire de recours, lettre E). Dans ses déterminations spontanées du 29 juillet 2024, L.________ précise qu’il sollicite que son acte du 30 mai 2024 soit analysé</w:t>
      </w:r>
    </w:p>
    <w:p>
      <w:r>
        <w:t>- 13 - au sens de l’art. 58 CPP, la justification de la présidente fondée sur l’art. 56 CPP étant selon lui irrecevable.</w:t>
      </w:r>
    </w:p>
    <w:p>
      <w:r>
        <w:rPr>
          <w:b/>
        </w:rPr>
        <w:t>E. 3.2</w:t>
      </w:r>
    </w:p>
    <w:p>
      <w:r>
        <w:t>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ou lorsque d’autres motifs, notamment un rapport d’amitié étroit ou d’inimitié avec une partie ou son conseil juridique, sont de nature à la rendre suspecte de prévention (let. f). L'art. 56 let. f CPP a ainsi la portée d'une clause générale recouvrant tous les motifs de récusation non expressément prévus aux lettres précédentes de l'art. 56 CPP. Cette clause correspond à la garantie d'un tribunal indépendant et impartial instituée par les art. 30 al. 1 Cst. et</w:t>
      </w:r>
    </w:p>
    <w:p>
      <w:r>
        <w:rPr>
          <w:b/>
        </w:rPr>
        <w:t>E. 3.3</w:t>
      </w:r>
    </w:p>
    <w:p>
      <w:r>
        <w:t>En l’espèce, L.________ voit un motif de récusation dans le fait que la présidente a rendu la décision attaquée. On peut admettre que, formée dans le délai de recours, la demande de récusation l’a été en temps utile. Le motif de récusation est toutefois manifestement infondé. En effet, au vu de la jurisprudence précitée, le refus de désigner un défenseur d’office ne saurait suffire à créer une apparence de partialité, d’autant qu’en l’occurrence, ce rejet est justifié. En particulier, dans sa décision, la présidente n’a pas fait état d’une quelconque remarque permettant de déduire qu’elle aurait préjugé de la recevabilité ou du bien- fondé de l’opposition formée par L.________ à l’encontre de l’ordonnance pénale rendue contre lui. Le requérant ne le soutient du reste pas. La demande de récusation de la première juge doit dès lors être rejetée. En ce qui concerne la requête de L.________ tendant à ce que son recours soit analysé au sens de l’art. 58 CPP, elle est, en tant que telle, superflue, dans la mesure où cette disposition se borne à indiquer de quelle manière et quand une demande de récusation doit être présentée lorsqu’un motif de récusation ressortant de l’art. 56 CPP apparaîtrait. Cette requête n’amène ainsi rien de plus au recours, ni n’influence la manière dont il faut le traiter. 4. En définitive, la demande de récusation doit être rejetée. De plus, le recours doit être rejeté dans la mesure où il est recevable et le prononcé du 21 mai 2024 confirmé. Vu l’issue de la cause, les frais de la procédure de recours et de récusation, constitués en l’espèce du seul émolument d’arrêt (art. 422 al. 1 CPP), par 1’540 fr. (art. 20 al. 1 TFIP [Tarif des frais de procédure et indemnités en matière pénale du 28 septembre 2010 ; BLV 312.03.1]), seront mis à la charge de L.________, qui succombe (art. 59 al. 4 et 428 al. 1 CPP).</w:t>
      </w:r>
    </w:p>
    <w:p>
      <w:r>
        <w:t>- 16 - Par ces motifs, la Chambre des recours pénale prononce : I. La demande de récusation est rejetée. II. Le recours est rejeté dans la mesure où il est recevable. III. Le prononcé du 21 mai 2024 est confirmé. IV. Les frais d’arrêt, par 1’540 fr. (mille cinq cent quarante francs), sont mis à la charge de L.________. V. L’arrêt est exécutoire. Le président : Le greffier : Du Le présent arrêt, dont la rédaction a été approuvée à huis clos, est notifié, par l'envoi d'une copie complète, à : - L.________, - Ministère public central, et communiqué à : - Madame la Présidente du Tribunal d’arrondissement de Lausanne , par l’envoi de photocopies.</w:t>
      </w:r>
    </w:p>
    <w:p>
      <w:r>
        <w:t>- 17 - Le présent arrêt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r>
        <w:rPr>
          <w:b/>
        </w:rPr>
        <w:t>E. 6</w:t>
      </w:r>
    </w:p>
    <w:p>
      <w:r>
        <w:t>par. 1 CEDH (ATF 143 IV 69 consid 3.2).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147 III 89 consid. 4.1 ; 144 I 159 consid. 4.3). Tel peut notamment être le cas de propos ou d'observations, formulés par le juge avant ou pendant le procès, dont la teneur laisse</w:t>
      </w:r>
    </w:p>
    <w:p>
      <w:r>
        <w:t>- 14 - entendre que celui-ci s'est déjà forgé une opinion définitive sur l'issue de la procédure (ATF 137 I 227 consid. 2.1 ; 134 I 238 consid. 2.1 ; TF 7B_57/2022 du 27 mars 2024 consid. 8.2.1). Dans ce contexte toutefois, seules des circonstances constatées objectivement doivent être prises en considération, les impressions purement individuelles des parties n'étant pas décisives (ATF 144 I 159 consid. 4.3 ; 142 III 732 consid. 4.2.2).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TF 7B_677/2023 du 24 novembre 2023 consid. 3.2 ; 7B_189/2023 du 16 octobre 2023 consid. 2.2.1). Enfin,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7B_57/2022 du 27 mars 2024 consid. 8.2.2). Quant à l’art. 58 CPP, il dispose que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(al. 1). La personne concernée prend position sur la demande (al. 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