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PE24.006956 vom 12. Dezember 2024</w:t>
      </w:r>
    </w:p>
    <w:p>
      <w:r>
        <w:t>VD Tribunal cantonal, 2024-12-12, FR</w:t>
      </w:r>
    </w:p>
    <w:p>
      <w:r>
        <w:rPr>
          <w:b/>
        </w:rPr>
        <w:t xml:space="preserve">Quelle: </w:t>
      </w:r>
      <w:r>
        <w:t>https://mcp.opencaselaw.ch/entscheid/vd_gerichte_PE24.006956</w:t>
      </w:r>
    </w:p>
    <w:p>
      <w:r>
        <w:t>FR: VD_GERICHTE PE24.006956 du 12 décembre 2024</w:t>
      </w:r>
    </w:p>
    <w:p>
      <w:r>
        <w:t>IT: VD_GERICHTE PE24.006956 del 12 dicembre 2024</w:t>
      </w:r>
    </w:p>
    <w:p>
      <w:pPr>
        <w:pStyle w:val="Heading2"/>
      </w:pPr>
      <w:r>
        <w:t>Erwägungen</w:t>
      </w:r>
    </w:p>
    <w:p>
      <w:r>
        <w:rPr>
          <w:b/>
        </w:rPr>
        <w:t>E. 1</w:t>
      </w:r>
    </w:p>
    <w:p>
      <w:r>
        <w:t>Interjeté dans le délai légal (art. 396 al. 1 CPP [Code de procédure pénale suisse du 5 octobre 2007 ; RS 312.0]) contre une décision du Tribunal des mesures de contrainte dans un cas prévu par le CPP (art. 393 al. 1 let. c CPP), par une détenue qui a qualité pour recourir (art. 222 et 382 al. 1 CPP) et dans les formes prescrites (art. 385 al. 1 CPP), le recours est recevable.</w:t>
      </w:r>
    </w:p>
    <w:p>
      <w:r>
        <w:rPr>
          <w:b/>
        </w:rPr>
        <w:t>E. 2.1</w:t>
      </w:r>
    </w:p>
    <w:p>
      <w:r>
        <w:t>Aux termes de l’art. 237 al. 4 CPP, les dispositions sur la détention provisoire et la détention pour des motifs de sûreté s’appliquent par analogie au prononcé des mesures de substitution ainsi qu’au recours contre elles.</w:t>
      </w:r>
    </w:p>
    <w:p>
      <w:r>
        <w:t>- 9 -</w:t>
      </w:r>
    </w:p>
    <w:p>
      <w:r>
        <w:rPr>
          <w:b/>
        </w:rPr>
        <w:t>E. 2.2</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preuves (let. b) ou qu’il compromette sérieusement et de manière imminente la sécurité d’autrui en commettant des crimes ou des délits graves après avoir déjà commis des infractions du même genre (let. c). Conformément à l’art. 221 al. 1bis CPP, la détention provisoire et la détention pour des motifs de sûreté peuvent exceptionnellement être ordonnées, aux conditions suivantes : le prévenu est fortement soupçonné d’avoir porté gravement atteinte à l’intégrité physique, psychique ou sexuelle d’autrui en commettant un crime ou un délit grave (let. a) ; en outre, il y a un danger sérieux et imminent qu’il commette un crime grave du même genre (let. b). Enfin, la détention peut être ordonnée s’il y a un danger sérieux et imminent qu’une personne passe à l’acte après avoir menacé de commettre un crime grave (art. 221 al. 2 CPP).</w:t>
      </w:r>
    </w:p>
    <w:p>
      <w:r>
        <w:rPr>
          <w:b/>
        </w:rPr>
        <w:t>E. 3.1</w:t>
      </w:r>
    </w:p>
    <w:p>
      <w:r>
        <w:t>La recourante conteste la persistance du risque de réitération qualifié. Elle reproche au premier juge de ne pas avoir pris en considération deux éléments nouveaux dans l’appréciation de ce risque, soit l’écoulement du temps sans récidive et le suivi régulier dont elle fait l’objet sur le plan psychothérapeutique. Elle fait valoir que les faits énumérés dans la demande de prolongation des mesures de substitution ne relèveraient pas tous d’infractions pénales et que les infractions pour lesquelles elle est poursuivie toucheraient principalement des biens juridiques tels que le patrimoine, l’honneur ou la liberté. Elle soutient par ailleurs qu’il y aurait lieu de tenir compte du contexte dans lequel les infractions auraient été commises, soit le fait que ses débordements</w:t>
      </w:r>
    </w:p>
    <w:p>
      <w:r>
        <w:t>- 10 - seraient réactifs à un sentiment d’injustice et d’inaction et faute d’un espace de parole, dans le cadre d’une séparation houleuse.</w:t>
      </w:r>
    </w:p>
    <w:p>
      <w:r>
        <w:rPr>
          <w:b/>
        </w:rPr>
        <w:t>E. 3.2</w:t>
      </w:r>
    </w:p>
    <w:p>
      <w:r>
        <w:t>En édictant l’art. 221 al. 1bis CPP, le législateur a prévu un risque de récidive qualifié comme motif de détention provisoire, sans exigence d’infractions préalables comme l’expose l’art. 221 al. 1 let. c CPP, mais à des conditions restrictives, soit de restreindre les infractions soupçonnées aux crimes et délits graves contre des biens juridiques particulièrement importants (par ex. la vie, l’intégrité physique ou l’intégrité sexuelle). L’exigence supplémentaire de l’atteinte grave a pour objectif de garantir que, lors de l’examen de la mise en détention, on prendra en considération non seulement les peines encourues, mais aussi les circonstances de chaque cas (let. a). Ces restrictions sont de plus requises en ce qui concerne le risque de crime grave du même genre. En effet, la détention provisoire ne paraît justifiée que si le prévenu risque de mettre gravement en danger les biens juridiques des victimes potentielles (comme lorsque le motif de mise en détention est le passage à l’acte). Enfin, ces restrictions ont pour objectif d’exclure que ce motif de mise en détention soit avancé en cas de dommages purement matériels ou de comportements socialement nuisibles (TF 7B_1025/2023 du 23 janvier 2024 consid. 3.2).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La gravité de l'infraction dépend, outre de la peine menace prévue par la loi, de la nature du bien juridique menacé et du contexte, notamment de la dangerosité présentée concrètement par le prévenu, respectivement de son potentiel de violence (ATF 150 IV 149 consid. 3.6.2 ; ATF 146 IV 326 consid. 3.1).</w:t>
      </w:r>
    </w:p>
    <w:p>
      <w:r>
        <w:t>- 11 - L'art. 221 al. 1bis let. b CPP exige, dans l'examen du pronostic, qu'il y ait un danger sérieux et imminent que le prévenu commette un crime grave du même genre. La jurisprudence du Tribunal fédéral ne parlait à l'époque pas littéralement de l'exigence d'un danger « sérieux et imminent » (de nouveaux crimes graves) ; cependant, il existait déjà, à cet égard, une pratique restrictive sous l'ancien droit, dès lors que le Tribunal fédéral avait expressément souligné que le risque qualifié de récidive n'entrait en ligne de compte que si le risque de nouveaux crimes graves apparaissait comme « inacceptablement élevé » (« untragbar hoch ») ; sur ce point, il y a lieu de continuer à tenir compte de la jurisprudence du Tribunal fédéral (cf. pour le détail ATF 146 IV 136 précité consid. 2.2 ; ATF 143 IV 9 consid. 2.3.1 et 2.8 à 2.10 ; ATF 137 IV 13 consid. 3 ; cf. TF 7B_583/2024 du 25 juin 2024 consid. 3.2.2 et la référence citée). Les crimes graves du même genre redoutés au sens de l'art. 221 al. 1bis let. b CPP mettent en effet directement en danger la sécurité tant au regard de l'ancien droit (art. 221 al. 1 let. c aCPP) qu'à la lumière du nouveau droit (art. 221 al. 1bis let. a et b CPP ; TF 7B_830/2024 du 4 septembre 2024 consid. 2.2.2 ; TF 7B_583/2024 précité). En général, la mise en danger de la sécurité d'autrui est d'autant plus grande que les actes redoutés sont graves. En revanche, le rapport entre gravité et danger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Dès lors, un pronostic défavorable est nécessaire (et en principe également suffisant) pour admettre l'existence d'un tel risque (ATF 143 IV 9 précité consid. 2.9 ; TF 7B_1025/2023 précité et les références citées).</w:t>
      </w:r>
    </w:p>
    <w:p>
      <w:r>
        <w:rPr>
          <w:b/>
        </w:rPr>
        <w:t>E. 3.3</w:t>
      </w:r>
    </w:p>
    <w:p>
      <w:r>
        <w:t>En l’espèce, il n’appartient pas au juge de la détention de procéder à l’examen de tous les faits reprochés à la recourante et de déterminer lesquels tombent précisément sous le coup de la loi pénale. Il est en effet manifeste que nombre d’entre eux, s’ils étaient retenus, seraient constitutifs d’infractions pénales. Il est en outre erroné de</w:t>
      </w:r>
    </w:p>
    <w:p>
      <w:r>
        <w:t>- 12 - soutenir que les intérêts juridiquement protégés concernés par ces infractions ne seraient pas couverts par l’art. 221 al. 1bis CPP, dès lors que la contrainte sous forme de « stalking » porte atteinte à l’intégrité psychique de la victime. Une détention sur cette seule base est ainsi déjà possible. Enfin, le fait que les comportements reprochés auraient eu lieu dans le cadre d’une séparation très conflictuelle et qu’une procédure pénale serait ouverte contre l’époux de la recourante, s’il peut peut-être expliquer en partie les réactions de celle-ci, ne saurait modifier le constat que de sérieux soupçons d’infractions graves existent en l’espèce. Il peut par ailleurs être donné acte à la recourante que depuis que les mesures de substitution à sa détention ont été mises en œuvre, aucune récidive n’a été portée à la connaissance du Ministère public. Force est ainsi de constater que ces mesures sont à même de pallier le risque de réitération qualifié retenu. Il n’en demeure pas moins que les faits reprochés à la recourante se sont déroulés sur une période de plusieurs mois et que les mesures de substitution en cause ne sont en vigueur que depuis trois mois. Ce dernier laps de temps apparaît ainsi trop court pour retenir que le risque de récidive aurait disparu, d’autant que les précédentes mesures d’éloignement ou d’interdiction de contact prononcées par le juge civil n’ont eu aucun effet sur la recourante. En outre, comme celle-ci l’indique elle-même, la situation avec son époux est encore conflictuelle. Dans ces circonstances, il est prématuré de retenir que le risque de réitération qualifié aurait disparu en raison de l’écoulement du temps et du suivi entrepris. Au contraire, le risque de réitération qualifiée présenté par la recourante demeure suffisamment important et concret pour retenir que les conditions de la détention provisoire sont toujours remplies.</w:t>
      </w:r>
    </w:p>
    <w:p>
      <w:r>
        <w:rPr>
          <w:b/>
        </w:rPr>
        <w:t>E. 4.1</w:t>
      </w:r>
    </w:p>
    <w:p>
      <w:r>
        <w:t>La recourante invoque une violation du principe de la proportionnalité. Elle fait valoir que les mesures de substitution prononcées à son encontre porteraient atteinte à ses droits de patiente et à sa liberté. Elle souligne en particulier que l’obligation de se soumettre à un traitement restreindrait fortement et inutilement son droit au libre</w:t>
      </w:r>
    </w:p>
    <w:p>
      <w:r>
        <w:t>- 13 - choix d’un thérapeute, et que l’interdiction d’entretenir des relations personnelles lui ferait constamment craindre de croiser par hasard son époux ou un membre de la famille de celui-ci.</w:t>
      </w:r>
    </w:p>
    <w:p>
      <w:r>
        <w:rPr>
          <w:b/>
        </w:rPr>
        <w:t>E. 4.2</w:t>
      </w:r>
    </w:p>
    <w:p>
      <w:r>
        <w:t>Une mesure de détention provisoire ou pour des motifs de sûreté, respectivement le prononcé de mesures de substitution à celles-ci, n'est compatible avec la liberté personnelle (art. 10 al. 2 Cst. [Constitution fédérale de la Confédération suisse du 18 avril 1999 ; RS 101] et 5 CEDH [Convention de sauvegarde des droits de l’homme et des libertés fondamentales du 4 novembre 1950 ; RS 0.101]) que si elle repose sur une base légale (art. 31 al. 1 et 36 al. 1 Cst.). Concrétisant le principe de la proportionnalité, l’art. 237 al. 1 CPP prévoit que le tribunal compétent ordonne une ou plusieurs mesures moins sévères en lieu et place de la détention provisoire ou de la détention pour des motifs de sûreté si ces mesures permettent d’atteindre le même but que la détention. En vertu de l'art. 237 al. 2 CPP, font notamment partie des mesures de substitution la fourniture de sûretés (let. a), la saisie des documents d'identité et autres documents officiels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Cette liste est exemplative et le juge de la détention peut, le cas échéant, assortir les mesures de substitution de toute condition propre à en garantir l'efficacité (ATF 145 IV 503 consid. 3.1). La détention provisoire et la détention pour des motifs de sûreté ne doivent pas durer plus longtemps que la peine privative de liberté prévisible (art. 212 al. 3 CPP).</w:t>
      </w:r>
    </w:p>
    <w:p>
      <w:r>
        <w:t>- 14 -</w:t>
      </w:r>
    </w:p>
    <w:p>
      <w:r>
        <w:rPr>
          <w:b/>
        </w:rPr>
        <w:t>E. 4.3</w:t>
      </w:r>
    </w:p>
    <w:p>
      <w:r>
        <w:t>Il peut être donné acte à la recourante que l’instauration de la mesure de substitution à forme de l’obligation de poursuivre le suivi psychologique entrepris a compliqué ledit suivi dans le cas d’espèce. En effet, celui-ci a été interrompu et la recourante n’a pas pu consulter le thérapeute de son choix, dès lors que certains d’entre eux ont refusé de la prendre en charge dans le cadre judiciaire. Il est également exact qu’une prise en charge au centre de [...], qui se trouve à quelques pas de chez elle, aurait été pratique pour la recourante. Cela étant, elle perd de vue que le suivi qui a pu être mis en œuvre auprès du psychologue M.________ et dont elle bénéficie depuis le 25 septembre 2024, même s’il est contraignant pour elle, semble à ce stade porter ses fruits, aucune récidive n’ayant été portée à la connaissance des autorités depuis lors. Dans ces circonstances, il serait en l’état largement prématuré, non seulement de changer de thérapeute, mais surtout de passer à une consultation sur un mode volontaire. Le fait qu’elle ait peiné à trouver un thérapeute acceptant le cadre judiciaire ou qu’un établissement de soins se trouve à proximité de chez elle n’y change rien. Par ailleurs, le stress ressenti par la recourante du fait qu’elle soupçonne son époux et la famille de celui-ci de s’approcher d’elle pour la prendre en faute et ainsi pouvoir affirmer qu’elle ne respecte pas l’interdiction prononcée à son encontre ne saurait constituer un motif pour lever la mesure. Il y a en effet lieu de rappeler que c’est le comportement de la recourante à leur égard qui a justifié le prononcé de cette interdiction ; ainsi, le fait qu’elle affirme n’avoir aucune envie d’entretenir des contacts avec eux ne suffit pas, en l’état, à rassurer. Enfin, au vu de l’intensité des débordements qui lui sont reprochés et du fait qu’elle recevra immanquablement, dans le cadre des procédures civile et pénales en cours, des décisions qui seront sources de mécontentement et de stress pour elle, il paraît prématuré en l’état de lever l’interdiction de s’approcher et de prendre contact avec son époux et les membres de sa famille. Ainsi, c’est à juste titre que le Tribunal des mesures de contrainte a retenu que les mesures de substitution ordonnées</w:t>
      </w:r>
    </w:p>
    <w:p>
      <w:r>
        <w:t>- 15 - demeuraient pleinement justifiées en l’état et, partant, qu’il a ordonné leur prolongation. Pour le surplus, au regard de l’ensemble des éléments qui précèdent et de la peine encourue par la recourante, une prolongation d’une durée de trois mois demeure proportionnée.</w:t>
      </w:r>
    </w:p>
    <w:p>
      <w:r>
        <w:rPr>
          <w:b/>
        </w:rPr>
        <w:t>E. 5</w:t>
      </w:r>
    </w:p>
    <w:p>
      <w:r>
        <w:t>En définitive, le recours, manifestement mal fondé, doit être rejeté sans échange d’écritures (art. 390 al. 2 CPP) et l’ordonnance entreprise confirmée. Compte tenu de la nature de l’affaire et de l’acte de recours déposé, l’indemnité allouée au défenseur d’office de C.W.________ sera fixée à 540 fr., correspondant à une activité nécessaire d’avocat de 3 h 00 au tarif horaire de 180 fr., montant auquel il convient d’ajouter des débours forfaitaires à concurrence de 2 % des honoraires admis (art. 3bis al. 1 RAJ [règlement du 7 décembre 2010 sur l'assistance judiciaire en matière civile ; BLV 211.02.3], applicable par renvoi de l’art. 26b TFIP [tarif des frais de procédure et indemnités en matière pénale du 28 septembre 2010 ; BLV 312.03.1]), par 10 fr. 80, plus la TVA au taux de 8,1 %, par 44 fr. 60, soit à 596 fr. au total en chiffres arrondis. Vu le sort du recours, les frais de la procédure, constitués en l’espèce de l’émolument d'arrêt, par 1’540 fr. (art. 20 al. 1 TFIP), et des frais imputables à la défense d’office de C.W.________ (art. 422 al. 1 et 2 let. a CPP), fixés à 596 fr., seront mis à la charge de la recourante, qui succombe (art. 428 al. 1 CPP). Le remboursement à l’Etat de l’indemnité allouée au défenseur d’office de la recourante ne sera toutefois exigible que pour autant que la situation financière de celle-ci le permette (art. 135 al. 4 CPP).</w:t>
      </w:r>
    </w:p>
    <w:p>
      <w:r>
        <w:t>- 16 - Par ces motifs, la Chambre des recours pénale prononce : I. Le recours est rejeté. II. L’ordonnance du 26 novembre 2024 est confirmée. III. L’indemnité allouée au défenseur d’office de C.W.________ est fixée à 596 fr. (cinq cent nonante-six francs). IV. Les frais d’arrêt, par 1’540 fr. (mille cinq cent quarante francs), ainsi que l’indemnité due au défenseur d’office du recourant, par 596 fr. (cinq cent nonante-six francs), sont mis à la charge de C.W.________. V. Le remboursement à l’Etat de l’indemnité allouée au chiffre III ci-dessus ne sera exigible que pour autant que la situation financière de C.W.________ le permette. VI. L’arrêt est exécutoire. Le président : La greffière : Du Le présent arrêt, dont la rédaction a été approuvée à huis clos, est notifié, par l'envoi d'une copie complète, à : - Me Martin Brechbühl, avocat (pour C.W.________), - Ministère public central, et communiqué à : - Mme la Présidente du Tribunal des mesures de contrainte, - M. le Procureur de l’arrondissement de Lausanne, - Service de la population, par l’envoi de photocopies.</w:t>
      </w:r>
    </w:p>
    <w:p>
      <w:r>
        <w:t>- 17 -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