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PE24.006819 vom 11. April 2025</w:t>
      </w:r>
    </w:p>
    <w:p>
      <w:r>
        <w:t>VD Tribunal cantonal, 2025-04-11, FR</w:t>
      </w:r>
    </w:p>
    <w:p>
      <w:r>
        <w:rPr>
          <w:b/>
        </w:rPr>
        <w:t xml:space="preserve">Quelle: </w:t>
      </w:r>
      <w:r>
        <w:t>https://mcp.opencaselaw.ch/entscheid/vd_gerichte_PE24.006819</w:t>
      </w:r>
    </w:p>
    <w:p>
      <w:r>
        <w:t>FR: VD_GERICHTE PE24.006819 du 11 avril 2025</w:t>
      </w:r>
    </w:p>
    <w:p>
      <w:r>
        <w:t>IT: VD_GERICHTE PE24.006819 del 11 aprile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les parties plaignantes qui ont qualité pour recourir (art. 382 al. 1 CPP), le recours est recevable. Les pièces nouvelles produites à l’appui du recours sont également recevables (art. 389 al. 3 CPP ; TF 1B_550/2022 du 17 novembre 2022 consid. 2.1 ; CREP 18 avril 2024/302 ; CREP 13 septembre 2024/652).</w:t>
      </w:r>
    </w:p>
    <w:p>
      <w:r>
        <w:rPr>
          <w:b/>
        </w:rPr>
        <w:t>E. 2.1</w:t>
      </w:r>
    </w:p>
    <w:p>
      <w:r>
        <w:t>Dans un grief d’ordre formel, les recourants reprochent au Ministère public de n’avoir procédé à aucune mesure d’investigation. En particulier, ils semblent faire grief au Ministère public de ne pas les avoir entendus et de ne pas avoir auditionné G.________ et S.________, violant ainsi leur droit d’être entendus.</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w:t>
      </w:r>
    </w:p>
    <w:p>
      <w:r>
        <w:t>- 6 -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w:t>
      </w:r>
    </w:p>
    <w:p>
      <w:r>
        <w:rPr>
          <w:b/>
        </w:rPr>
        <w:t>E. 2.2.2</w:t>
      </w:r>
    </w:p>
    <w:p>
      <w:r>
        <w:t>; TF 6B_1070/2023 du 21 août 2024 consid. 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TF 6B_1027/2023 précité).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6B_1027/2023 précité). Les spécificités du contrat liant la victime et l'auteur peuvent jouer un rôle dans l'appréciation des vérifications que la dupe doit entreprendre (Dupuis et al. [éd.], Petit commentaire, Code pénal, 2e éd., Bâle 2017, n. 15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6B_1027/2023 précité).</w:t>
      </w:r>
    </w:p>
    <w:p>
      <w:r>
        <w:t>- 10 -</w:t>
      </w:r>
    </w:p>
    <w:p>
      <w:r>
        <w:rPr>
          <w:b/>
        </w:rPr>
        <w:t>E. 2.3</w:t>
      </w:r>
    </w:p>
    <w:p>
      <w:r>
        <w:t>En l’espèce, conformément à la jurisprudence susmentionnée, le Ministère public n’était pas tenu, à ce stade de la procédure, d’entendre les plaignants, ni même G.________ et S.________, avant de rendre son ordonnance. De plus, les recourants ont pu exercer leur droit d’être entendus dans la procédure de recours. Dès lors, aucune violation de ce droit ne saurait être retenue.</w:t>
      </w:r>
    </w:p>
    <w:p>
      <w:r>
        <w:rPr>
          <w:b/>
        </w:rPr>
        <w:t>E. 3.1</w:t>
      </w:r>
    </w:p>
    <w:p>
      <w:r>
        <w:t>Contestant le refus d’entrer en matière, les recourants invoquent une violation du principe in dubio pro duriore en relation avec les infractions d’escroquerie, de dommages à la propriété, de contrainte et de violation de domicile.</w:t>
      </w:r>
    </w:p>
    <w:p>
      <w:r>
        <w:t>- 7 -</w:t>
      </w:r>
    </w:p>
    <w:p>
      <w:r>
        <w:rPr>
          <w:b/>
        </w:rPr>
        <w:t>E. 3.2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- 8 -</w:t>
      </w:r>
    </w:p>
    <w:p>
      <w:r>
        <w:rPr>
          <w:b/>
        </w:rPr>
        <w:t>E. 3.3.1</w:t>
      </w:r>
    </w:p>
    <w:p>
      <w:r>
        <w:t>Les recourants reprochent à G.________ et S.________ d’avoir commis une escroquerie en recourant à une mise en scène destinée à faire croire qu’ils avaient la capacité financière d’acquérir un chalet au prix de 8 millions de francs. La mise en scène aurait consisté dans le fait de se présenter, elle et son compagnon, comme des personnes sérieuses, roulant en « Audi » ou en « Porsche Cayenne ». Toutefois, les intéressés ne se seraient acquittés que du paiement du premier trimestre de location et n’auraient pas versé la garantie de loyer convenue, ce qui tendrait à démontrer leur absence de moyens réels et leur volonté délibérée de tromper.</w:t>
      </w:r>
    </w:p>
    <w:p>
      <w:r>
        <w:rPr>
          <w:b/>
        </w:rPr>
        <w:t>E. 3.3.2</w:t>
      </w:r>
    </w:p>
    <w:p>
      <w:r>
        <w:t>Aux termes de l'art. 146 CP (Code pénal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 2.2.2; ATF 135 IV 76 consid. 5.2 ; TF 6B_26/2024 du 20 décembre 2024 consid. 4.1.1). Selon la jurisprudence, la tromperie portant sur la volonté d'exécuter une prestation, en particulier sur le fait de prétendre être</w:t>
      </w:r>
    </w:p>
    <w:p>
      <w:r>
        <w:t>- 9 - disposé à payer, constitue en principe une tromperie astucieuse, étant donné qu'elle se rapporte à des faits internes qui, par essence, ne peuvent être directement vérifiés par le cocontractant (ATF 142 IV 153 consid.</w:t>
      </w:r>
    </w:p>
    <w:p>
      <w:r>
        <w:rPr>
          <w:b/>
        </w:rPr>
        <w:t>E. 3.3.3</w:t>
      </w:r>
    </w:p>
    <w:p>
      <w:r>
        <w:t>En l’espèce, les recourants reprochent à G.________ et à son compagnon, qui n’est qu’occupant et non locataire, de leur avoir fait croire – à tort – qu’elle avait les moyens d’acquérir le chalet au prix de 8 millions de francs. Premièrement, bien qu’il soit indéniable que des discussions ont eu lieu entre les parties concernant l’acquisition potentielle de ce chalet, aucune entente formelle n’a été conclue, ni même promise. En effet, la location du chalet avait pour objectif principal de permettre à G.________ de déterminer si le logement lui convenait. Deuxièmement, il n’est nulle part allégué dans le dossier – ni dans le recours d’ailleurs – que la location du chalet était consentie exclusivement dans le but de permettre l’achat ultérieur de celui-ci, du point de vue des recourants. Au demeurant, ils ne démontrent pas qu’ils n’auraient pas loué le chalet à G.________, ni à ce prix, ni pour cette durée, si cette dernière n’avait pas évoqué la possibilité de l’acquérir. Troisièmement, rien ne démontre que la prénommée n’aurait effectivement pas eu les moyens de l’acheter. A cet égard, il apparaît que G.________ s’est en effet bien acquittée des premiers mois de location au prix convenu, et qu’elle paraît s’être plainte de défauts – notamment concernant le chauffage – plainte qui semble partiellement corroborée par les recourants eux-mêmes, qui lui reprochent de ne pas avoir permis l’accès du chalet à des techniciens. Il découle de ce qui précède que rien dans les allégations et les pièces produites par les recourants ne permet de conclure que la volonté de G.________ d'exécuter sa prestation, notamment de s’acquitter du loyer, faisait défaut a priori, la somme de 87'000 fr. ayant bien été payée. Par ailleurs, s’agissant de l’astuce, les recourants pouvaient se protéger en demandant à G.________ de leur fournir des documents prouvant sa solvabilité avant de conclure le contrat de bail. Le fait que G.________ se serait présentée aux recourants comme une personne sérieuse et qu’elle aurait laissé transparaître un train de vie de confortable, en roulant en « Audi » ou en « Porsche Cayenne », n’était manifestement pas suffisant comme garantie, d’autant plus qu’il ne s’agissait pas d’une location de courte durée, mais bien d’une année entière et à un prix conséquent. Pour le surplus, le fait de ne pas s’acquitter du loyer, des factures ou des charges, tout comme alléguer des</w:t>
      </w:r>
    </w:p>
    <w:p>
      <w:r>
        <w:t>- 11 - défauts d’un bien loué dans le cadre d’un contentieux, ne constitue pas – en soi – un indice de commission d’une infraction pénale. Par conséquent, c’est à juste titre que le Ministère public a considéré que les chances de condamnation étaient nulles ou quasi nulles et qu’il a refusé d’entrer en matière s’agissant de l’infraction d’escroquerie.</w:t>
      </w:r>
    </w:p>
    <w:p>
      <w:r>
        <w:rPr>
          <w:b/>
        </w:rPr>
        <w:t>E. 3.4.1</w:t>
      </w:r>
    </w:p>
    <w:p>
      <w:r>
        <w:t>S’agissant des dommages à la propriété, les recourants reprochent au Ministère public de ne pas avoir pris en considération leur crainte qu’un manque d’entretien du chalet, dû à l’empêchement d’y accéder, ait entraîné d’importants dégâts à l’intérieur ainsi qu’aux abords de la propriété. Ils déplorent en outre que le changement des cylindres des portes, ainsi que d’autres déprédations mentionnées dans leur plainte complémentaire, n’ait pas été pris en compte.</w:t>
      </w:r>
    </w:p>
    <w:p>
      <w:r>
        <w:rPr>
          <w:b/>
        </w:rPr>
        <w:t>E. 3.4.2</w:t>
      </w:r>
    </w:p>
    <w:p>
      <w:r>
        <w:t>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Sur le plan subjectif, l'infraction n'est réalisée que si elle a été commise intentionnellement, ce qui signifie que l’auteur doit avoir eu la conscience et la volonté, au moins sous la forme du dol éventuel, de s’en</w:t>
      </w:r>
    </w:p>
    <w:p>
      <w:r>
        <w:t>- 12 - prendre à une chose appartenant à autrui ou à l’usage d’autrui, et d’en changer l’état (ATF 116 IV 143 consid. 2b ; Dupuis et al., op. cit., n. 16 ad art. 144 CP et les références citées ; Corboz, Les principales infractions, 3e éd., Berne 2010, n. 23 ad art. 144 CP). En matière d'infractions contre le patrimoine, la notion « d’appartenance à autrui » se rapporte à la conception de la propriété au sens du droit privé (ATF 132 IV 5 consid. 3.3). L'art. 144 CP protège toutefois également les droits d'usage que d'autres personnes pourraient avoir sur une chose (TF 7B_74/2023 du 30 septembre 2024 consid. 2.2.3). En vertu de l’art. 260a al. 1 CO (Code des obligations du 30 mars 1911 ; RS 220), le locataire n’a le droit de rénover ou modifier la chose qu’avec le consentement écrit du bailleur. Lorsque le bailleur n’a pas donné son consentement, il peut exiger la remise en état de la chose (art. 260a al. 2 CO a contrario).</w:t>
      </w:r>
    </w:p>
    <w:p>
      <w:r>
        <w:rPr>
          <w:b/>
        </w:rPr>
        <w:t>E. 3.4.3</w:t>
      </w:r>
    </w:p>
    <w:p>
      <w:r>
        <w:t>En l’espèce, les recourants soutiennent que le Ministère public n’aurait pas tenu compte de leurs inquiétudes en lien avec de possibles déprédations et le changement des serrures, en se référant à leur plainte complémentaire du 6 février 2025. Il convient, en premier lieu, de relever que cette plainte complémentaire a été déposée environ dix jours après que l’ordonnance querellée a été rendue, soit à la même date que le dépôt du recours. Dès lors, les faits évoqués dans ladite plainte – notamment les déprédations alléguées – ne peuvent être pris en considération dans le cadre de la présente procédure. À supposer même qu’ils puissent être connus, leur réalité reste à démontrer, faute notamment de disposer d’un état des lieux d’entrée et de sortie ou de tout élément probant sur cette question. En l’état, la crainte d’avoir des déprédations – non spécifiées – ne saurait constituer un dommage à la propriété au sens de l’art. 144 CP. Quant au changement de serrures, il ressort du dossier un courrier du conseil de G.________ indiquant que celle-ci s’inquiétait de l’absence de serrures efficaces sur certaines portes (P. 8/2-10). S’il ne fait aucun doute que le remplacement des serrures constitue une modification de la chose louée au sens de l’art. 260a al. 1 CO et que partant, la prénommée aurait</w:t>
      </w:r>
    </w:p>
    <w:p>
      <w:r>
        <w:t>- 13 - dû obtenir l’accord écrit des recourants pour y procéder, il appartenait aux recourants de demander la remise en état ou des dommages et intérêts. Par ailleurs, les conditions objectives de l’infraction de dommages à la propriété sont l’endommagement, la destruction ou la mise hors d’usage, critères que ne remplit pas le seul changement de serrures, cet aspect du litige étant, ici encore, éminemment civil. En conséquence, c’est à juste titre que le Ministère public a retenu que les conditions de l’infraction n’étaient pas réalisées au moment où elle a rendu son ordonnance de non-entrée en matière, les chances de condamnation étant inexistantes.</w:t>
      </w:r>
    </w:p>
    <w:p>
      <w:r>
        <w:rPr>
          <w:b/>
        </w:rPr>
        <w:t>E. 3.5.1</w:t>
      </w:r>
    </w:p>
    <w:p>
      <w:r>
        <w:t>Les recourants soutiennent que l’infraction de contrainte serait réalisée par le fait que G.________ et S.________ auraient « fait feu de tout bois » pour empêcher leur expulsion. Ils se fondent notamment sur leur plainte complémentaire, selon laquelle G.________ aurait eu recours aux services d’un conseiller juridique qui a contesté l’expulsion à tous les stades de la procédure, allant jusqu’à admettre devant le Tribunal fédéral son intention d’acheter le chalet. En outre, G.________ et S.________ auraient tout fait pour éviter que des poursuites ne leur soient notifiées, en prétextant un domicile au Royaume-Uni.</w:t>
      </w:r>
    </w:p>
    <w:p>
      <w:r>
        <w:rPr>
          <w:b/>
        </w:rPr>
        <w:t>E. 3.5.2</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w:t>
      </w:r>
    </w:p>
    <w:p>
      <w:r>
        <w:t>- 14 - ou contraire aux mœurs (ATF 141 IV 437 consid. 3.2.1 ; TF 6B_20/2024 du 17 décembre 2024 consid. 15.1 et les références citées).</w:t>
      </w:r>
    </w:p>
    <w:p>
      <w:r>
        <w:rPr>
          <w:b/>
        </w:rPr>
        <w:t>E. 3.5.3</w:t>
      </w:r>
    </w:p>
    <w:p>
      <w:r>
        <w:t>En l’espèce, les recourants semblent reprocher à G.________ d’avoir utilisé tous les moyens à sa disposition pour s’opposer, d’une part, à la résiliation du bail qui lui avait été signifiée, et, d’autre part, à son expulsion. A l’instar du Ministère public, aucun élément ne permet de retenir l’existence d’une infraction de contrainte au sens de l’art. 181 CP. En effet, un contentieux entre les parties relatif à la résiliation d’un contrat de bail ne saurait, en lui-même, fonder les éléments constitutifs d’une infraction pénale. Par ailleurs, la procédure d’expulsion était en cours au moment du dépôt de la plainte et les moyens qui auraient été employés par les locataires – tels que l’entrave à l’accès au chalet et le non- paiement de factures dues contractuellement – n’étaient manifestement ni illicites, ni abusifs au sens de la disposition précitée. Il s’ensuit que le Ministère public a – à juste titre – refusé d'entrer en matière sur la plainte déposée par les recourants en tant qu'elle concernait cette infraction.</w:t>
      </w:r>
    </w:p>
    <w:p>
      <w:r>
        <w:rPr>
          <w:b/>
        </w:rPr>
        <w:t>E. 3.6.1</w:t>
      </w:r>
    </w:p>
    <w:p>
      <w:r>
        <w:t>Les recourants reprochent enfin à la procureure de ne pas avoir retenu de violation de domicile au sens de l’art. 186 CP, au motif qu’elle aurait dû savoir, à la lecture de la plainte complémentaire, que G.________ était restée dans le chalet au-delà de la date du 14 octobre 2024, qui lui avait été signifiée pour libérer les lieux.</w:t>
      </w:r>
    </w:p>
    <w:p>
      <w:r>
        <w:rPr>
          <w:b/>
        </w:rPr>
        <w:t>E. 3.6.2</w:t>
      </w:r>
    </w:p>
    <w:p>
      <w:r>
        <w:t>En application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et est, sur plainte, puni d’une peine privative de liberté de trois ans au plus ou d’une peine pécuniaire.</w:t>
      </w:r>
    </w:p>
    <w:p>
      <w:r>
        <w:t>- 15 -</w:t>
      </w:r>
    </w:p>
    <w:p>
      <w:r>
        <w:rPr>
          <w:b/>
        </w:rPr>
        <w:t>E. 3.6.3</w:t>
      </w:r>
    </w:p>
    <w:p>
      <w:r>
        <w:t>En l’espèce, dans la mesure où, au jour du dépôt de la plainte principale, la procédure d’expulsion n’avait pas encore abouti, force est de constater – également sur ce point – que l’occupation du chalet par les locataires n’était pas illicite au sens de l’art. 186 CP. Par conséquent, l’infraction de violation de domicile n’est pas réalisée. En outre, l’avis d’expulsion, qui n’a pas été produit au dossier, ne permet pas davantage d’étayer les allégations des recourants. Compte tenu de ces éléments, c'est à juste titre que le Ministère public a considéré que les éléments constitutifs de l'infraction de violation de domicile n'étaient pas réalisés, et qu'il n'y avait dès lors pas lieu d'entrer en matière sur la plainte déposée par les recourants en tant qu'elle portait sur cette infraction.</w:t>
      </w:r>
    </w:p>
    <w:p>
      <w:r>
        <w:rPr>
          <w:b/>
        </w:rPr>
        <w:t>E. 3.7</w:t>
      </w:r>
    </w:p>
    <w:p>
      <w:r>
        <w:t>En conclusion, les éléments constitutifs d’une infraction pénale ne sont à l’évidence pas réalisés et l’ordonnance de non-entrée en matière est pleinement justifiée. Il apparaît que le litige divisant les parties est exclusivement de nature contractuelle, et partant, relève du droit civil.</w:t>
      </w:r>
    </w:p>
    <w:p>
      <w:r>
        <w:rPr>
          <w:b/>
        </w:rPr>
        <w:t>E. 4</w:t>
      </w:r>
    </w:p>
    <w:p>
      <w:r>
        <w:t>En définitive, le recours, manifestement mal fondé, doit être rejeté sans échange d’écritures et l’ordonnance entreprise confirmée. Les frais de procédure, constitués du seul émolument d’arrêt, par 1'650 fr. (art. 20 al. 1 TFIP [tarif des frais de procédure et indemnités en matière pénale du 28 septembre 2010 ; BLV 312.03.1]), seront mis à la charge de A.P.________ et B.P.________ qui succombent (art. 428 al. 1 CPP), à parts égales et solidairement entre eux (art. 418 al. 1 et 2 CPP). Le montant de 770 fr. versé par les recourants à titre de sûretés sera imputé sur ces frais (art. 383 al. 1 CPP ; art. 7 TFIP). Le solde dû par les recourants s’élève à 880 francs.</w:t>
      </w:r>
    </w:p>
    <w:p>
      <w:r>
        <w:t>- 16 - Par ces motifs, la Chambre des recours pénale prononce : I. Le recours est rejeté. II. L’ordonnance du 27 janvier 2025 est confirmée. III. Les frais d’arrêt, par 1’650 fr. (mille six cent cinquante francs), sont mis à la charge de A.P.________ et B.P.________, à parts égales et solidairement entre eux. IV. Le montant de 770 fr. (sept cent septante francs) déjà versé A.P.________ et B.P.________ à titre de sûreté est imputé sur les frais mis à leur charge au chiffre III ci-dessus, le solde dû par ceux-ci à l’Etat s’élevant à 880 fr. (huit cent huitante francs). V. L’arrêt est exécutoire. Le président : La greffière : Du Le présent arrêt, dont la rédaction a été approuvée à huis clos, est notifié, par l'envoi d'une copie complète, à : - Me Matthieu Genillod, avocat (pour A.P.________ et B.P.________), - G.________,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