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PE24.006801 vom 3. Juli 2024</w:t>
      </w:r>
    </w:p>
    <w:p>
      <w:r>
        <w:t>VD Tribunal cantonal, 2024-07-03, FR</w:t>
      </w:r>
    </w:p>
    <w:p>
      <w:r>
        <w:rPr>
          <w:b/>
        </w:rPr>
        <w:t xml:space="preserve">Quelle: </w:t>
      </w:r>
      <w:r>
        <w:t>https://mcp.opencaselaw.ch/entscheid/vd_gerichte_PE24.006801</w:t>
      </w:r>
    </w:p>
    <w:p>
      <w:r>
        <w:t>FR: VD_GERICHTE PE24.006801 du 3 juillet 2024</w:t>
      </w:r>
    </w:p>
    <w:p>
      <w:r>
        <w:t>IT: VD_GERICHTE PE24.006801 del 3 luglio 2024</w:t>
      </w:r>
    </w:p>
    <w:p>
      <w:pPr>
        <w:pStyle w:val="Heading2"/>
      </w:pPr>
      <w:r>
        <w:t>Erwägungen</w:t>
      </w:r>
    </w:p>
    <w:p>
      <w:r>
        <w:rPr>
          <w:b/>
        </w:rPr>
        <w:t>E. 2</w:t>
      </w:r>
    </w:p>
    <w:p>
      <w:r>
        <w:t>Le recourant soutient que ce serait de façon arbitraire que le Tribunal des mesures de contrainte a justifié la prolongation de sa détention en retenant que les soupçons à son encontre se seraient considérablement renforcés. En effet, les autorités savaient déjà lors de son interpellation qu’il était en possession de 182 grammes brut de cocaïne et que l’on atteignait ainsi la limite du cas grave. Par ailleurs, les incohérences sur son lieu de vie, outre qu’elles ne peuvent être rattachées à aucun élément constitutif de l’infraction à la LStup n’ont, selon lui, aucun impact permettant de renforcer les soupçons portés à son encontre. Cette formulation ne pourrait être rattachée qu’à une infraction à la LEI qui ne justifierait pas une détention provisoire. Ainsi, les soupçons contre lui ne se sont pas renforcés. Au contraire, il aurait immédiatement et spontanément coopéré avec les autorités pénales et fourni des explications crédibles. Selon lui, l’élément subjectif de l’infraction de l’art. 19 al. 2 LStup fait défaut, puisqu’il ignorait qu’il transportait de la drogue, ayant été dupé par un tiers alors qu’il se trouvait en fort état d’ébriété. Il conteste ainsi l’existence de soupçons suffisants.</w:t>
      </w:r>
    </w:p>
    <w:p>
      <w:r>
        <w:rPr>
          <w:b/>
        </w:rPr>
        <w:t>E. 2.1</w:t>
      </w:r>
    </w:p>
    <w:p>
      <w:r>
        <w:t>La mise en détention provisoire et, a fortiori, le maintien en détention, n'est possible que s'il existe à l'égard de l'auteur présumé, et préalablement à toute autre cause, de graves soupçons de culpabilité d'avoir commis un crime ou un délit (ATF 139 IV 186 consid. 2 ; Chaix, in : Commentaire romand, Code de procédure pénale suisse, 2e éd., 2019 [ci- après : CR CPP], nn. 4 ss ad art. 221 CPP). L'intensité des charges propres à motiver un maintien en détention provisoire n'est pas la même aux divers stades de l'instruction pénale. Si des soupçons, même encore peu précis, peuvent être suffisants</w:t>
      </w:r>
    </w:p>
    <w:p>
      <w:r>
        <w:t>- 6 - dans les premiers temps de l'enquête, la perspective d'une condamnation doit apparaître vraisemblable après l'accomplissement des actes d'instruction envisageables (ATF 143 IV 330 consid. 2.1 ; ATF 143 IV 316 consid. 3.1 et 3.2 ; TF 1B_88/2022 du 29 mars 2022 consid. 2.1 ; Chaix, in : CR CPP,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1B_7/2020 du 24 janvier 2020 consid. 3.1 ; TF 1B_219/2019 du 4 juin 2019 consid. 2.1).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TF 1B_308/2018 du 17 juillet 2018 consid. 2.1 ; Forster, in : Niggli/Heer/Wiprächtiger [éd.], Basler Kommentar, Schweizerische Strafprozessordnung, 3e éd., Bâle 2023, n. 3 ad art. 221 CPP).</w:t>
      </w:r>
    </w:p>
    <w:p>
      <w:r>
        <w:rPr>
          <w:b/>
        </w:rPr>
        <w:t>E. 2.2</w:t>
      </w:r>
    </w:p>
    <w:p>
      <w:r>
        <w:t>En l’espèce, l’argumentation du recourant ne résiste pas à l’examen. En premier lieu, et comme l’a relevé le tribunal de première instance dans son ordonnance de mise en détention du 27 mars 2024, il est invraisemblable qu’une personne en situation irrégulière et dans une situation financière aussi précaire que le prévenu entreprenne un voyage en train d’Italie à Paris dans l’unique but de se procurer des denrées alimentaires, aussi spéciales fussent-elles. Son explication tendant à dire qu’il s’est fait piéger par un inconnu qui lui aurait demandé de transporter un sac d’habits pour lui, alors qu’il se trouvait à Paris, ne convainc donc pas. Son comportement lors de son interpellation (refus d’obtempérer, agressivité, simulation d’un malaise et d’une ivresse) laisse en outre à</w:t>
      </w:r>
    </w:p>
    <w:p>
      <w:r>
        <w:t>- 7 - penser qu’il était parfaitement au courant de ce qu’il transportait. A ce stade, il existe ainsi des soupçons suffisants s’agissant de la commission de cette infraction, l’erreur sur les faits ne pouvant être retenue à tout le moins de façon claire telle qu’exigée par la jurisprudence. Il est au contraire patent qu’une peine peut entrer en ligne de compte. Par ailleurs, et contrairement à ce que soutient le recourant, il n’est pas faux d’affirmer que les soupçons dirigés contre lui sont renforcés par l’analyse scientifique. Ainsi, il est désormais certain que la limite du cas grave est dépassée, rien ne permettant d’affirmer comme le fait le recourant que la cocaïne trouvée en sa possession avait forcément un taux de pureté de 10%. De plus, une première analyse des extractions des téléphones portables du prévenu ont permis de relever de nombreuses incohérences avec les déclarations de ce dernier s’agissant notamment de son lieu de vie. Compte tenu de ce qui précède, il faut retenir, avec le Tribunal des mesures de contrainte, qu’il existe à l’encontre du recourant des soupçons suffisants de culpabilité pour des faits qui sont graves. Le recours doit ainsi être rejeté sur ce point.</w:t>
      </w:r>
    </w:p>
    <w:p>
      <w:r>
        <w:rPr>
          <w:b/>
        </w:rPr>
        <w:t>E. 3</w:t>
      </w:r>
    </w:p>
    <w:p>
      <w:r>
        <w:t>L’analyse du tribunal s’agissant des risques de collusion et de fuite n’est, à juste titre, pas contestée de sorte que l’on peut se référer à l’ordonnance entreprise par adoption de motifs (cf. art. 82 al. 4 CPP).</w:t>
      </w:r>
    </w:p>
    <w:p>
      <w:r>
        <w:rPr>
          <w:b/>
        </w:rPr>
        <w:t>E. 4</w:t>
      </w:r>
    </w:p>
    <w:p>
      <w:r>
        <w:t>Le recourant fait valoir une violation du principe de célérité prévu à l’art. 5 CPP qui rendrait sa détention disproportionnée au sens des art. 36 al. 3 Cst. et 237 CPP. Il considère que le temps écoulé sans que l’autorité ne procède à l’extraction des données de son téléphone et de celui de son épouse est excessif. De même, il estime trop tardive la date de sa prochaine audition, arrêtée au 17 juillet 2024.</w:t>
      </w:r>
    </w:p>
    <w:p>
      <w:r>
        <w:rPr>
          <w:b/>
        </w:rPr>
        <w:t>E. 4.1.1</w:t>
      </w:r>
    </w:p>
    <w:p>
      <w:r>
        <w:t>En vertu du principe de la proportionnalité ancré à l’art. 36 al. 3 Cst. (Constitution fédérale de la Confédération suisse du 18 avril 1999 ; RS 101), l’autorité doit tenter autant que possible de substituer à la</w:t>
      </w:r>
    </w:p>
    <w:p>
      <w:r>
        <w:t>- 8 - détention toute autre mesure moins incisive propre à atteindre le même résultat (ATF 133 I 270 consid. 2.2), la détention représentant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précité consid. 3.1).</w:t>
      </w:r>
    </w:p>
    <w:p>
      <w:r>
        <w:rPr>
          <w:b/>
        </w:rPr>
        <w:t>E. 4.1.2</w:t>
      </w:r>
    </w:p>
    <w:p>
      <w:r>
        <w:t>La détention peut être considérée comme disproportionnée en cas de retard injustifié dans le cours de la procédure pénale.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précité consid. 3.2 ; ATF 137 IV 118 consid. 2.1 ; ATF 137 IV 92 consid. 3.1). Le caractère raisonnable de la durée d’une procédure pénale s’apprécie selon les circonstances particulières de la cause, eu égard en particulier à la complexité de l’affaire, au comportement du requérant et à</w:t>
      </w:r>
    </w:p>
    <w:p>
      <w:r>
        <w:t>- 9 - celui des autorités compétentes, ainsi qu’à l’enjeu du litige pour l’intéressé (ATF 133 I 270 précité consid. 3.4.2). La violation éventuelle du principe de la célérité n’entraîne pas la libération immédiate du détenu lorsque la détention demeure matériellement justifiée. De plus, à l’instar de la violation de certains délais procéduraux, la violation du principe de célérité peut être réparée - au moins partiellement - par la constatation de cette violation, une admission partielle du recours sur ce point et la mise à la charge de l’Etat des frais de justice (cf. TF 1B_150/2012 du 30 mars 2012 consid. 3.3 ; TF 1B_44/2012 du 13 février 2012 consid. 4 et 5).</w:t>
      </w:r>
    </w:p>
    <w:p>
      <w:r>
        <w:rPr>
          <w:b/>
        </w:rPr>
        <w:t>E. 4.2</w:t>
      </w:r>
    </w:p>
    <w:p>
      <w:r>
        <w:t>S’agissant de la prétendue violation du principe de célérité, le tribunal a considéré que ce grief ne saurait être retenu puisque l’on ne discernait pas dans le déroulement de l’instruction de manquement particulièrement grave faisant apparaître que l’autorité de poursuite n’est plus en mesure de conduire la procédure à chef dans un délai raisonnable. Cette appréciation ne prête pas le flanc à la critique et doit être confirmée. En effet, le prévenu a été interpellé le 24 mars 2024. S’il a dès le lendemain fourni le code de son téléphone, il n’a transmis celui de son épouse que le 26 avril 2024, de sorte que l’analyse de ces téléphones est encore en cours. Une audition du recourant afin de lui soumettre les éléments récoltés par les enquêteurs est prévue le 17 juillet prochain et le rapport de police pourra ensuite être rendu. Force est ainsi de constater que l’enquête se poursuit sans discontinuer et qu’il s’agit de délais parfaitement usuels dans ce genre d’affaire. On relève enfin qu’en cas de condamnation pour infraction grave à la LStup, le recourant encourt une peine privative de liberté minimale d’une année. Partant, la prolongation ordonnée pour une durée de trois mois reste conforme au principe de proportionnalité et doit être confirmée.</w:t>
      </w:r>
    </w:p>
    <w:p>
      <w:r>
        <w:rPr>
          <w:b/>
        </w:rPr>
        <w:t>E. 5</w:t>
      </w:r>
    </w:p>
    <w:p>
      <w:r>
        <w:t>En définitive, le recours, manifestement mal fondé, doit être rejeté sans échange d'écritures (art. 390 al. 2 CPP) et l'ordonnance entreprise confirmée.</w:t>
      </w:r>
    </w:p>
    <w:p>
      <w:r>
        <w:t>- 10 - Les frais de la procédure de recours, qui sont constitués en l’espèce de l’émolument d’arrêt, par 990 fr. (art. 20 al. 1 TFIP [tarif des frais de procédure et indemnités en matière pénale du 28 septembre 2010 ; BLV 312.03.1]), et de l’indemnité due au défenseur d’office (art. 422 al. 1 et 2 let. a CPP), seront mis à la charge du recourant, qui succombe (art. 428 al. 1 CPP). Au vu du travail accompli par Me Evan Kohler, défenseur d’office du recourant, il sera retenu 3 heures d’activité nécessaire d’avocat au tarif horaire de 180 fr. (art. 2 al. 1 let. a et 3 al. 2 RAJ [règlement sur l'assistance judiciaire en matière civile du 7 décembre 2010 ; BLV 211.02.3] par renvoi de l’art. 26b TFIP), soit 540 francs. S’y ajoutent 2 % pour les débours (art. 3bis al. 1 RAJ par renvoi de l’art. 26b TFIP), soit 10 fr. 80, et la TVA sur le tout (8.1%), par 44 fr. 60. L’indemnité d’office s’élèvera au total à 596 fr. en chiffres arrondis. Le remboursement à l’Etat de l’indemnité allouée au défenseur d’office sera exigible du recourant dès que sa situation financière le permettra (art. 135 al. 4 CPP). Par ces motifs, la Chambre des recours pénale prononce : I. Le recours est rejeté. II. L’ordonnance du 20 juin 2024 est confirmée. III. L’indemnité allouée à Me Evan Kohler, défenseur d’office d’I.________, est fixée à 596 fr. (cinq cent nonante-six francs). IV. Les frais d’arrêt, par 990 fr. (neuf cent nonante francs), ainsi que l’indemnité allouée à Me Evan Kohler, par 596 fr. (cinq cent nonante-six francs), sont mis à la charge d’I.________. V. I.________ sera tenu de rembourser à l’Etat l’indemnité allouée sous chiffre III ci-dessus dès que sa situation financière le permettra.</w:t>
      </w:r>
    </w:p>
    <w:p>
      <w:r>
        <w:t>- 11 - VI. L’arrêt est exécutoire. Le président : La greffière :</w:t>
      </w:r>
    </w:p>
    <w:p>
      <w:r>
        <w:t>- 12 - Du Le présent arrêt, dont la rédaction a été approuvée à huis clos, est notifié, par l'envoi d'une copie complète, à : - Me Evan Kohler, avocat (pour I.________), - Ministère public central, et communiqué à : - Mme la Présidente du Tribunal des mesures de contrainte, - Monsieur le Procureur cantonal Strada, - Service de la population, par courrier électronique,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