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PE24.006796 vom 28. August 2024</w:t>
      </w:r>
    </w:p>
    <w:p>
      <w:r>
        <w:t>VD Tribunal cantonal, 2024-08-28, FR</w:t>
      </w:r>
    </w:p>
    <w:p>
      <w:r>
        <w:rPr>
          <w:b/>
        </w:rPr>
        <w:t xml:space="preserve">Quelle: </w:t>
      </w:r>
      <w:r>
        <w:t>https://mcp.opencaselaw.ch/entscheid/vd_gerichte_PE24.006796</w:t>
      </w:r>
    </w:p>
    <w:p>
      <w:r>
        <w:t>FR: VD_GERICHTE PE24.006796 du 28 août 2024</w:t>
      </w:r>
    </w:p>
    <w:p>
      <w:r>
        <w:t>IT: VD_GERICHTE PE24.006796 del 28 agosto 2024</w:t>
      </w:r>
    </w:p>
    <w:p>
      <w:pPr>
        <w:pStyle w:val="Heading2"/>
      </w:pPr>
      <w:r>
        <w:t>Erwägungen</w:t>
      </w:r>
    </w:p>
    <w:p>
      <w:r>
        <w:rPr>
          <w:b/>
        </w:rPr>
        <w:t>E. 26</w:t>
      </w:r>
    </w:p>
    <w:p>
      <w:r>
        <w:t>juillet 2024/565 consid. 2.2.1 et les références citées) 2.2.2 Selon l’art. 255 al. 1 let. a CPP dans sa teneur au 1er janvier 2024, pour élucider le crime ou le délit sur lequel porte la procédure, le prélèvement d’un échantillon et l’établissement d’un profil d’ADN peuvent être ordonnés sur le prévenu. Cette possibilité n’est pas uniquement limitée à l’élucidation du crime ou du délit pour lequel le prévenu est poursuivi. Ces mesures peuvent également être ordonnées afin d’élucider</w:t>
      </w:r>
    </w:p>
    <w:p>
      <w:r>
        <w:t>- 9 - des infractions passées, si des indices concrets laissent présumer qu’il pourrait avoir commis d’autres crimes ou délits (art. 255 al. 1bis CPP ; Message du Conseil fédéral du 28 août 2019 concernant la modification du code de procédure pénale, FF 2019 pp. 6351 ss, spéc. 6405). L’art. 257 CPP quant à lui permet l’établissement d’un profil d’ADN dans le but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 ; CREP 26 juillet 2024/565 consid. 2.2.2 et les références citées).</w:t>
      </w:r>
    </w:p>
    <w:p>
      <w:r>
        <w:t>- 10 - 2.2.3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précité ; TF 7B_152/2023 du 2 juillet 2024 consid. 2.1.3 ; TF 1B_259/2022 du 23 juin 2023 consid. 4.3). 2.3 En l’espèce, le Ministère public a exposé les faits reprochés à X.________, à savoir divers vols par effraction de 2018 à 2024 et un brigandage, sans exposer quels indices laissaient présumer que le recourant pouvait être soupçonné d'être l’auteur desdites infractions, comme le prévoit l’art. 197 al. 1 let. b CPP. Or, ce dernier en conteste un certain nombre puisque lors de son audition par le Tribunal des mesures de contrainte, il n'a concédé n'avoir participé qu'à trois des cambriolages qui lui étaient reprochés (cf. P. 53/1, p. 3). En outre, le recourant a raison lorsqu’il prétend qu’il n’a pas été entendu sur les nouveaux faits révélés notamment par les autorités genevoises et sur ce point, il faut bien</w:t>
      </w:r>
    </w:p>
    <w:p>
      <w:r>
        <w:t>- 11 - reconnaître que l’ordonnance souffre d’un défaut de motivation. Cela étant, le Ministère public a dûment motivé sa position dans le cadre de ses déterminations, ce qui permet à la Chambre de céans de guérir le vice. Comme cela ressort des trois ordonnances du Tribunal des mesures de contrainte, lesquelles se basent sur les rapports de la police des 24 mars et 3 juin 2024 ainsi que sur la procédure reçue du canton de Genève le 12 juin 2024 (P. 42), il existe des indices concrets que X.________ puisse être l'auteur de la série de vols commis en 2019 et 2024 dans les cantons de Vaud et de Genève. Lors de son interpellation, des outils servant à commettre des cambriolages ont été retrouvés dans son véhicule, ainsi que du butin. Les antécédents du recourant en Argentine démontrent de plus qu’il s’agit d’un criminel endurci, et qu'il commet régulièrement des infractions contre le patrimoine et l’intégrité corporelle à tout le moins depuis 2008. L'argument du recourant selon lequel son casier judiciaire suisse est vierge ne lui est donc d'aucun secours. Il ressort également du rapport de police du 24 mars 2024 que le recourant est signalé valablement pour expulsion par l’Italie, ce qui sous-entend qu'il aurait commis des délits dans ce pays. Dans ces conditions, il apparaît très vraisemblable que, comme l'a relevé à juste titre le Ministère public cantonal Strada, que X.________, qui n’exerce aucune profession légale en France (où il résidait apparemment) ou en Suisse, et qui déclare être chanteur de profession, soit venu dans notre pays dans le seul but d'y commettre des infractions, contre le patrimoine notamment. Quant à l'allégation selon laquelle il serait venu en Suisse, et plus généralement en Europe, pour produire des vidéo-clips, elle ne repose que sur ses dires, et elle est démentie par tous les éléments qui précèdent. Compte tenu des forts soupçons qui pèsent sur lui, la nécessité d'ordonner l'établissement de son profil ADN pour élucider des infractions passées est donc établie. Au vu des antécédents du recourant, du nombre de cas qui lui sont reprochés et de la gravité des infractions en cause, la mesure est proportionnée. Elle est la seule apte à permettre de l’identifier pour</w:t>
      </w:r>
    </w:p>
    <w:p>
      <w:r>
        <w:t>- 12 - d’éventuels autres infractions contre le patrimoine qu’il aurait commises. Il s’ensuit que c’est à juste titre que le Ministère public a ordonné l’établissement d’un profil ADN au sens de l’art. 255 CPP. 3. Le recourant semble enfin reprocher au Ministère public d'avoir fait établir par la police son profil ADN sur la base de l'échantillon prélevé au mois de mars 2024 avant que l'ordonnance attaquée soit rendue. Interpellé par la Chambre de céans sur ce point, le Ministère public a admis que le profil ADN du recourant avait été établi avant que la décision attaquée ait été prise. Dans son recours, et sa réplique, X.________ a déclaré que, si tel était le cas, la décision serait à ce point viciée qu'elle devrait être annulée (cf. p. 6 all. 24). Il ne conclut toutefois pas à l'annulation de celle-ci pour ce motif, ni n'expose au demeurant sur quelle disposition une telle annulation pourrait se justifier. 4. En définitive, le recours doit être rejeté et l’ordonnance du 10 juillet 2024 confirmée. Me Elisabeth Chappuis, défenseur d’office de X.________, a déposé une liste d'opérations, faisant état de 6h43 d'activité, dont il n'y a pas lieu de s'écarter. Son indemnité sera donc fixée à 1'209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et non de 5% comme décompté (art. 3bis al. 1 RAJ), soit 24 fr. 18, une demi-vacation de 60 fr., et la TVA au taux de 8,1 % sur le tout, par 104 fr. 74. L’indemnité d’office s’élève au total à 1'398 fr. en chiffres ronds. Les frais de la procédure de recours, qui sont constitués en l’espèce de l’émolument d’arrêt, par 1'320 fr. (art. 20 al. 1 TFIP), et de l’indemnité due au défenseur d’office (art. 422 al. 1 et 2 let. a CPP), par</w:t>
      </w:r>
    </w:p>
    <w:p>
      <w:r>
        <w:t>- 13 - 1'398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10 juillet 2024 est confirmée. III. L'indemnité allouée à Me Elisabeth Chappuis, défenseur d'office de X.________, est fixée à 1'398 fr. (mille trois cent nonante-huit francs). IV. Les frais d’arrêt, par 1'320 fr. (mille trois cent vingt francs), ainsi que l'indemnité allouée à Me Elisabeth Chappuis, par 1'398 fr. (mille trois cent nonante-huit francs), sont mis à la charge de X.________. V. Le remboursement à l'Etat de l'indemnité allouée au chiffre III ci-dessus, sera exigible de X.________ dès que sa situation financière le permettra. VI. L’arrêt est exécutoire. Le président : La greffière : Du Le présent arrêt, dont la rédaction a été approuvée à huis clos, est notifié, par l'envoi d'une copie complète, à : - Me Elisabeth Chappuis, avocate (pour X.________), - Ministère public central,</w:t>
      </w:r>
    </w:p>
    <w:p>
      <w:r>
        <w:t>- 14 -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