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PE24.006582 vom 6. März 2025</w:t>
      </w:r>
    </w:p>
    <w:p>
      <w:r>
        <w:t>VD Tribunal cantonal, 2025-03-06, FR</w:t>
      </w:r>
    </w:p>
    <w:p>
      <w:r>
        <w:rPr>
          <w:b/>
        </w:rPr>
        <w:t xml:space="preserve">Quelle: </w:t>
      </w:r>
      <w:r>
        <w:t>https://mcp.opencaselaw.ch/entscheid/vd_gerichte_PE24.006582</w:t>
      </w:r>
    </w:p>
    <w:p>
      <w:r>
        <w:t>FR: VD_GERICHTE PE24.006582 du 6 mars 2025</w:t>
      </w:r>
    </w:p>
    <w:p>
      <w:r>
        <w:t>IT: VD_GERICHTE PE24.006582 del 6 marzo 2025</w:t>
      </w:r>
    </w:p>
    <w:p>
      <w:pPr>
        <w:pStyle w:val="Heading2"/>
      </w:pPr>
      <w:r>
        <w:t>Erwägungen</w:t>
      </w:r>
    </w:p>
    <w:p>
      <w:r>
        <w:rPr>
          <w:b/>
        </w:rPr>
        <w:t>E. 20</w:t>
      </w:r>
    </w:p>
    <w:p>
      <w:r>
        <w:t>décembre 2023 par la Commission. Ils rappellent par ailleurs que cette dernière ordonnance se base sur une plainte émise par la J.________ agissant au nom de la C.________ sans être au bénéfice d’une procuration pour la représenter. En outre, la procureure n’aurait pas tenu compte, d’une part, du fait qu’un recours était pendant contre l’ordonnance pénale et, d’autre part, de certaines informations transmises en cours de procédure. 3.2.1.2 L'art. 303 ch. 1 al. 1 CP sanctionne d'une peine privative de liberté ou d'une peine pécuniaire quiconque aura dénoncé à l'autorité, comme auteur d'un crime ou d'un délit, une personne qu'il savait innocente, en vue de faire ouvrir contre elle une poursuite pénale. Sur le plan objectif, cette norme suppose qu'une communication imputant faussement à une personne la commission d'un</w:t>
      </w:r>
    </w:p>
    <w:p>
      <w:r>
        <w:t>- 18 - crime ou d'un délit ait été adressée à l'autorité. Une dénonciation n'est calomnieuse que si la personne mise en cause est innocente. Est innocente la personne qui n'a pas commis les faits délictueux qui lui sont faussement imputés (ATF 132 IV 20 consid. 4.2 ; TF 6B_483/2020 du 13 octobre 2020 consid. 1.1.1). L'élément constitutif subjectif de l'infraction implique que l'auteur sache que la personne qu'il dénonce est innocente. Il s'agit d'une connaissance au sens strict. Le dol éventuel ne suffit pas (ATF 136 IV 170 consid. 2.1). Le dol éventuel suffit en revanche quant à l'intention de faire ouvrir une poursuite pénale (ATF 80 IV 117 ; TF 6B_483/2020 précité ; TF 6B_1289/2018 du 20 février 2019 consid. 1.3.1). Cette norme pénale tend à protéger non seulement l'administration de la justice, mais également la personne qui est accusée faussement (ATF 132 IV 20 précité consid. 4.1 ; ATF 115 IV 1 consid. 2b), dans divers biens juridiquement protégés, tels l'honneur, le patrimoine et la liberté, la sphère privée ou l'intégrité psychique (ATF 136 IV 170 précité ; ATF 132 IV 20 précité et les références citées ; TF 6B_140/2022 du 9 mai 2023 consid. 3.3.1). 3.2.1.3 En l’espèce, les recourants se contentent d’une contestation générale, en se référant aux arguments d’ores et déjà invoqués devant le Ministère public et en renvoyant à leur plainte et aux pièces précédemment déposées. Ils n’indiquent ainsi pas, en s’appuyant sur les motifs de l’ordonnance attaquée, en quoi il se justifierait – sous l’angle des faits ou du droit – qu’une décision différente soit rendue. A.M.________ et B.M.________ ne démontrent ainsi pas que leur thèse l’emporterait sur celle de la procureure et ne mettent pas en exergue les failles qu’ils décèleraient dans son raisonnement. Il s’ensuit que le recours ne satisfait ici pas aux exigences de motivation prescrites par l’art. 385 al. 1 CPP et qu’il doit être déclaré irrecevable sur ce point. Il sied de préciser que, même si le recours avait été recevable, il aurait de toute façon dû être rejeté sur ce point. Aucun élément au</w:t>
      </w:r>
    </w:p>
    <w:p>
      <w:r>
        <w:t>- 19 - dossier ne permet en effet de retenir que les plaintes de la gérance étaient contraires à la vérité et destinées à faire ouvrir une poursuite pénale contre les recourants, tout en les sachant innocents. On relève à cet égard que A.M.________ a admis, durant la séance tenue par la Commission le 19 février 2024, qu’il s’était effectivement garé à deux reprises sur les places visiteurs, précisant qu’il était certain que le concierge allait le dénoncer. Une ordonnance pénale – qui n’est pas le seul élément sur lequel se base le Ministère public, contrairement à ce que soutient le couple – a d’ailleurs été rendue par la Commission pour ces faits, légitimant a priori les plaintes de la J.________. 3.2.2 Du chef d’accusation de violation de la Loi sur la protection des données 3.2.2.1 En ce qui concerne la violation de la Loi sur la protection des données, les recourants estiment que le raisonnement du Ministère public – selon lequel le fait qu’il ne se soient pas opposés à la communication du nom et de l’adresse liés à leur plaque rendrait ces données publiques – serait valable « dans une situation normale » uniquement. Toutefois, le fait que leur immatriculation soit associée à des dénonciations auprès de la Commission pour « parcage abusif » rendrait ces données personnelles sensibles au sens de l’art. 4 let. c ch. 4 LPD (recte : lire manifestement art. 5 let. c ch. 4 LPD). 3.2.2.2 Selon l’art. 5 let. c ch. 4 LPD, on entend par données personnelles sensibles (données sensibles) les données biométriques identifiant une personne physique de manière univoque. 3.2.2.3 En l’espèce, le grief soulevé est irrelevant. Dans la mesure où les recourants ne se sont pas opposés à la communication du nom et de l’adresse liés à leur plaque d’immatriculation (art. 89g al. 5 LCR), ces données étaient publiques. La distinction opérée en lien avec le fait que leur numéro minéralogique est associé à des dénonciations auprès de la Commission pour « parcage abusif » n’y change rien.</w:t>
      </w:r>
    </w:p>
    <w:p>
      <w:r>
        <w:t>- 20 - Le recours doit ainsi être rejeté sur ce point. 3.2.3 Des chefs d’accusation de diffamation et de calomnie 3.2.3.1 S’agissant des chefs d’accusation de diffamation et de calomnie, A.M.________ et B.M.________ estiment que les dirigeants concernés (dirigeants de la J.________ et président de la C.________), tout comme la police, « se sont montrés passifs devant [leurs] appels à l’aide, voire complices, laissant dégénérer la situation avec tous les préjudices qui [leur] ont été portés ». Selon A.M.________ et B.M.________, au lieu d’analyser de manière détaillée les faits allégués, la procureure avait qualifié leur plainte de prolixe, sans même auditionner l’autre partie, augmentant ainsi leur souffrance. 3.2.3.2 Aux termes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2.3.2 ; ATF 137 IV 313 consid. 2.1.1).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précité ; ATF 145 IV 462 consid. 4.2.3 ; ATF 137 IV 313 précité consid. 2.1.3).</w:t>
      </w:r>
    </w:p>
    <w:p>
      <w:r>
        <w:t>- 21 - Du point de vue subjectif, il suffit que l'auteur ait eu conscience du caractère attentatoire à l'honneur de ses propos et qu'il les ait néanmoins proférés ; il n'est pas nécessaire qu'il ait eu la volonté de blesser la personne visée (ATF 137 IV 313 précité consid. 2.1.6 ; TF 6B_767/2023 du 29 novembre 2023 consid. 4.1.1 ; TF 6B_479/2022 du 9 février 2023 consid. 5.1.1).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Sur le plan objectif, la calomnie implique donc la formulation ou la propagation d'allégations de fait fausses, qui soient attentatoires à l'honneur de la personne visée (TF 6B_1040/2022 précité ; TF 6B_1254/2019 du 16 mars 2020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TF 6B_1040/2022 précité ; TF 6B_1254/2019 précité). 3.2.3.3 Ici aussi, les recourants se contentent d’une contestation générale, sans indiquer, en se fondant sur l’ordonnance attaquée, en quoi</w:t>
      </w:r>
    </w:p>
    <w:p>
      <w:r>
        <w:t>- 22 - il se justifierait qu’une décision différente soit rendue d’un point de vue factuel ou juridique. A nouveau, ils ne démontrent pas que leur version l’emporterait sur celle du Ministère public et ne mettent pas en exergue les failles que son raisonnement contiendrait. Il s’ensuit que le recours ne satisfait pas, sur ce point, aux exigences de motivation prescrites par l’art. 385 al. 1 CPP et qu’il doit être déclaré irrecevable. Même s’il avait été considéré recevable, le recours aurait de toute manière dû être rejeté sur ce point, aucun élément de la procédure n’étayant les accusations de diffamation et/ou calomnie soulevées par A.M.________ et B.M.________. Les propos imputés à G.________ ou le courrier du 22 janvier 2024 ne font en effet pas apparaître les intéressés comme des personnes méprisables au sens des dispositions du Code pénal protégeant l’honneur. 3.2.4 Du chef d’accusation de faux dans les titres 3.2.4.1 En ce qui concerne le faux dans les titres, les recourants estiment que la « seconde » plainte du 31 octobre 2023 a été émise pour éviter un risque de non-admission en raison de la date et dans le seul but de leur porter préjudice, comme leur gérance l’aurait toujours fait. En outre, ils reprochent à la procureure de ne pas avoir pris en compte certains éléments soulevés en cours de procédure. Il en irait ainsi du fait que le procès-verbal de l’audience du 19 février 2024 devant la Commission mentionne que cette plainte est antidatée, que les places de stationnement situées au [...] ne comportent pas de panneau « places visiteurs » et que la J.________ a reconnu que les places pour visiteurs sont à disposition des locataires pour une durée maximale de 4 heures. Le Ministère public n’aurait pas non plus tenu compte du fait que la gérance a décidé de mandater une entreprise externe pour le contrôle des places de stationnement destinées aux visiteurs de l’immeuble, alors même que cette information était de nature à soupçonner la J.________ d’avoir émis des dénonciations calomnieuses par le passé.</w:t>
      </w:r>
    </w:p>
    <w:p>
      <w:r>
        <w:t>- 23 - 3.2.4.2 Selon l'art. 251 ch. 1 CP, se rend coupable de faux dans les titres quiconque, dans le dessein de porter atteinte aux intérêts pécuniaires ou aux droits d'autrui, ou de se procurer ou de procurer à un tiers un avantage illicite, créé un titre faux, falsifie un titre, ou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TF 6B_1092/2023 du 24 mai 2024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Pour que le mensonge soit punissable comme faux intellectuel, il faut que le document ait une valeur probante plus grande que dans l'hypothèse d'un faux matériel. On parle de « valeur probante accrue » (TF 6B_1092/2023 du 24 mai 2024 consid. 2.1 ; TF 6B_55/2017 du 24 mars 2017 consid. 2.2 et les références citées). 3.2.4.3 En l’espèce, l’élément subjectif de l’infraction fait à tout le moins défaut, puisqu’on ne décèle pas chez la gérance J.________, sur la base des éléments figurant au dossier, de dessein de porter atteinte aux intérêts pécuniaires ou aux droits des recourants ou de se procurer ou de procurer à un tiers un avantage illicite. On ne voit pas non plus d’intention de tromper A.M.________ et B.M.________. La gérance, au moment de transmettre la « seconde » plainte du 31 octobre 2023, s’est en effet</w:t>
      </w:r>
    </w:p>
    <w:p>
      <w:r>
        <w:t>- 24 - contentée de donner suite à l’interpellation de la Commission, qui relevait qu’une signature manquait sur la plainte, sollicitait l’envoi d’une plainte dûment signée et l’interpellait au sujet du lieu exact de l’infraction. Au surplus, le grief selon lequel la procureure n’a pas pris en compte certains éléments soulevés en cours de procédure constitue encore une contestation générale et un renvoi aux arguments précédemment soulevés. Partant, le recours doit être sur ce point rejeté dans la mesure de sa recevabilité. 3.2.5 Du chef d’accusation d’abus de confiance 3.2.5.1 S’agissant enfin du chef d’accusation d’abus de confiance, A.M.________ et B.M.________ relèvent que les frais accessoires constituent des valeurs patrimoniales confiées à la gérance dans l’attente du décompte final déterminant le droit soit au remboursement du trop-perçu, soit au versement d’un supplément. Ce droit serait déterminé sur la base de la comptabilité établie par la gérance, qui remet aux locataires uniquement le décompte indiquant le solde en faveur ou en défaveur de ceux-ci. La confiance serait ainsi nécessaire en lien avec la gestion des valeurs patrimoniales facturées avec les loyers. Pour les recourants, le fait pour la gérance de ne pas effectuer de décompte correct et de surfacturer ou de sous-rembourser serait constitutif d’abus de confiance. 3.2.5.2 Selon l’art. 138 ch. 1 CP, se rend coupable d’abus de confiance et est puni d’une peine privative de liberté de cinq ans au plus ou d’une peine pécuniaire quiconque, pour se procurer ou procurer à un tiers un enrichissement illégitime, s’approprie une chose mobilière appartenant à autrui et qui lui a été confiée (al. 1), ou quiconque, sans droit, emploie à son profit ou au profit d’un tiers des valeurs patrimoniales qui lui ont été confiées (al. 2). Sur le plan objectif, cette infraction suppose qu'une chose mobilière ou une valeur ait été confiée, autrement dit que l'auteur ait</w:t>
      </w:r>
    </w:p>
    <w:p>
      <w:r>
        <w:t>- 25 -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chose mobilière ou la valeur patrimoniale contrairement aux instructions reçues, en s'écartant de la destination fixée (ATF 129 IV 257 consid. 2.2.1 et les références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TF 6B_1017/2022, 6B_1029/2022 du 7 juin 2023 consid. 2.1). Du point de vue subjectif, l'auteur doit avoir agi intentionnellement et dans un dessein d'enrichissement illégitime, lequel peut être réalisé par dol éventuel (ATF 118 IV 32 consid. 2a ; TF 6B_1169/2022 du 30 juin 2023 consid. 2.2 ; TF 6B_595/2022 du 2 juin 2023 consid. 2.1.2).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 TF 6B_1443/2021 du 13 février 2023 consid. 1.1.2).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w:t>
      </w:r>
    </w:p>
    <w:p>
      <w:r>
        <w:t>- 26 - 3.2.5.3 En l’espèce, force est de constater que les éléments constitutifs du chef de prévention d’abus de confiance ne sont pas réalisés. En particulier, les frais accessoires en question ne sont pas des valeurs confiées au sens de l’art. 138 CP, dont la gérance aurait acquis la possibilité de disposer, mais uniquement pour un usage déterminé, conformément à un accord ou à un autre rapport juridique. En d’autres termes, la J.________ n’a pas utilisé ces valeurs patrimoniales contrairement aux instructions reçues, en s'écartant de la destination fixée. De plus, il n’y a manifestement, du point de vue subjectif, aucune intention ou dessein d'enrichissement illégitime de la part de la gérance. Cela étant, le grief, mal fondé, doit être rejeté. 3.2.6 Des autres griefs 3.2.6.1 En outre, les recourants expliquent que leur consultation du dossier leur a permis de constater que celui-ci n’était pas complet. Ainsi, il n’aurait pas contenu les demandes adressées à leur avocate ayant engendré les réponses de celle-ci des 27 mai 2024 et 8 août 2024 et le procès-verbal des opérations ne refléterait pas les éventuelles investigations menées par la procureure, laquelle n’aurait d’ailleurs procédé à aucune audition au sujet de leur plainte. A.M.________ et B.M.________ relèvent encore que l’ouverture de l’affaire ne leur a jamais été communiquée, ni le numéro de celle-ci avant le 2 août 2024. 3.2.6.2 En l’espèce, ces éléments sont sans pertinence. Il va de soi que, en estimant devoir rendre une ordonnance de non-entrée en matière, la procureure n’allait pas procéder à des auditions dans le cadre de cette affaire ou à de multiples actes d’enquête. Le grief relatif à l’absence des demandes adressées à leur avocate ayant engendré les réponses de celle- ci des 27 mai 2024 et 8 août 2024 n’est d’aucune aide aux intéressés à l’appui de leur recours. On remarque au demeurant que la correspondance de l’avocate du 8 août 2024 est manifestement une lettre spontanée de celle-ci.</w:t>
      </w:r>
    </w:p>
    <w:p>
      <w:r>
        <w:t>- 27 - * * * Au vu de tout ce qui précède, c’est à juste titre que le Ministère public a refusé d’entrer en matière sur la plainte de A.M.________ et B.M.________ du 20 mars 2024. On rappelle à toutes fins utiles que la plainte du 27 mars 2024 a été retirée le 13 mai 2024. 4. En définitive, la demande de récusation doit être rejetée dans la mesure où elle est recevable. Quant au recours, il doit également être rejeté dans la mesure de sa recevabilité, et l’ordonnance du 22 août 2024 confirmée. Les recourants ont été dispensés du versement de sûretés, une décision sur l’assistance judiciaire étant réservée. Vu le sort du recours, il y a lieu de rejeter la requête d’assistance judiciaire assortissant le recours, le recours étant manifestement vouée à l’échec et même à la limite de la témérité (cf. art. 136 al. 1 let. a CPP). Vu l’issue de la cause, les frais de la procédure de recours et de récusation, constitués en l’espèce de l’émolument d’arrêt (art. 422 al. 1 CPP), par 2’750 fr. (art. 20 al. 1 TFIP [Tarif des frais de procédure et indemnités en matière pénale du 28 septembre 2010 ; BLV 312.03.1]), seront mis à la charge de A.M.________ et B.M.________, qui succombent (art. 59 al. 4 2e phrase et 428 al. 1 CPP), à parts égales et solidairement entre eux (art. 418 al. 1 et 2 CPP).</w:t>
      </w:r>
    </w:p>
    <w:p>
      <w:r>
        <w:t>- 28 - Par ces motifs, la Chambre des recours pénale prononce : I. La demande de récusation est rejetée dans la mesure où elle est recevable. II. Le recours est rejeté dans la mesure où il est recevable. III. L’ordonnance du 22 août 2024 est confirmée. IV. La requête d’assistance judiciaire est rejetée. V. Les frais d’arrêt, par 2’750 fr. (deux mille sept cent cinquante francs), sont mis à la charge de A.M.________ et B.M.________, à parts égales et solidairement entre eux. VI. L’arrêt est exécutoire. La vice-présidente : Le greffier : Du Le présent arrêt, dont la rédaction a été approuvée à huis clos, est notifié, par l'envoi d'une copie complète, à : - A.M.________, - B.M.________, - Ministère public central, et communiqué à : - Mme la Procureure de l’arrondissement de Lausanne, par l’envoi de photocopies.</w:t>
      </w:r>
    </w:p>
    <w:p>
      <w:r>
        <w:t>- 29 -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