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PE24.005379 vom 5. Juli 2024</w:t>
      </w:r>
    </w:p>
    <w:p>
      <w:r>
        <w:t>VD Tribunal cantonal, 2024-07-05, FR</w:t>
      </w:r>
    </w:p>
    <w:p>
      <w:r>
        <w:rPr>
          <w:b/>
        </w:rPr>
        <w:t xml:space="preserve">Quelle: </w:t>
      </w:r>
      <w:r>
        <w:t>https://mcp.opencaselaw.ch/entscheid/vd_gerichte_PE24.005379</w:t>
      </w:r>
    </w:p>
    <w:p>
      <w:r>
        <w:t>FR: VD_GERICHTE PE24.005379 du 5 juillet 2024</w:t>
      </w:r>
    </w:p>
    <w:p>
      <w:r>
        <w:t>IT: VD_GERICHTE PE24.005379 del 5 luglio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rejeté et le jugement attaqué confirmé. Les frais d’appel, par 1’260 fr. (art. 21 al. 1 TFIP [tarif des frais de procédure et indemnités en matière pénale du 28 septembre 2010 ;</w:t>
      </w:r>
    </w:p>
    <w:p>
      <w:r>
        <w:t>- 16 - BLV 312.03.1]), seront mis à la charge de l’appelant,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