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PE24.005281 vom 5. August 2025</w:t>
      </w:r>
    </w:p>
    <w:p>
      <w:r>
        <w:t>VD Tribunal cantonal, 2025-08-05, FR</w:t>
      </w:r>
    </w:p>
    <w:p>
      <w:r>
        <w:rPr>
          <w:b/>
        </w:rPr>
        <w:t xml:space="preserve">Quelle: </w:t>
      </w:r>
      <w:r>
        <w:t>https://mcp.opencaselaw.ch/entscheid/vd_gerichte_PE24.005281</w:t>
      </w:r>
    </w:p>
    <w:p>
      <w:r>
        <w:t>FR: VD_GERICHTE PE24.005281 du 5 août 2025</w:t>
      </w:r>
    </w:p>
    <w:p>
      <w:r>
        <w:t>IT: VD_GERICHTE PE24.005281 del 5 agosto 2025</w:t>
      </w:r>
    </w:p>
    <w:p>
      <w:pPr>
        <w:pStyle w:val="Heading2"/>
      </w:pPr>
      <w:r>
        <w:t>Erwägungen</w:t>
      </w:r>
    </w:p>
    <w:p>
      <w:r>
        <w:rPr>
          <w:b/>
        </w:rPr>
        <w:t>E. 21</w:t>
      </w:r>
    </w:p>
    <w:p>
      <w:r>
        <w:t>décembre 2005, FF 2006 pp. 1057 ss, spéc. 1255). La décision de classer la procédure doit être prise en application du principe in dubio pro duriore, qui signifie qu’en règle générale, un classement ou une non- 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w:t>
      </w:r>
    </w:p>
    <w:p>
      <w:r>
        <w:t>- 5 -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références citées ; TF 6B_957/2021 du 24 mars 2022 consid. 2.1).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 2.2 2.2.1 En l’espèce, la recourante se contente de contredire l’appréciation des preuves opérée par le Ministère public – selon laquelle les échanges de messages entre les parties ne permettent pas de mettre en évidence que le prévenu aurait emporté la totalité du montant, comme l’affirme la plaignante – sans préciser quel passage d’un quelconque de ces messages viendrait étayer sa thèse. Un tel mode de faire ne respecte manifestement pas les exigences déduites par le Tribunal fédéral de l’art. 385 al. 1 CPP (cf. TF 7B_587/2023 du 11 septembre 2024 consid. 2.2.1 et les références citées), et est par conséquent irrecevable. 2.2.2 De toute manière, le raisonnement du Ministère public sur ce point est correct, pour les motifs suivants. Lors de son audition-plainte du 21 février 2024, J.________ a déclaré ce qui suit : « Lors de son départ, il a emporté nos économies, soit 23'000 fr. qui se trouvaient dans une boîte dans mon armoire » (P. 4 p. 6). Ce n’est que lors de ses auditions subséquentes qu’elle a affirmé que l’argent lui appartenait à elle seule. Ainsi, lors son audition par le Ministère public le 2 septembre 2024, elle a déclaré que la totalité de l’argent lui appartenait, qu’elle provenait de son travail, qu’elle l’avait retiré à la banque par tranches de 500 fr. et qu’elle avait l’intention de remettre cet</w:t>
      </w:r>
    </w:p>
    <w:p>
      <w:r>
        <w:t>- 6 - argent à la banque pour les enfants (PV aud. 1, ll. 75 à 77). Toujours lors de cette audition, J.________ a soutenu qu’il résultait du lot de messages qu’elle avait déposé qu’P.________ avait pris 23'000 fr. et non seulement 11'000 francs. Cependant, invitée à montrer les messages dont il s’agissait, elle n’a pas été en mesure de les retrouver (cf. PV aud. 1, ll. 160 ss). Lors de son audition du 24 février 2025, J.________ a maintenu que les 23'000 fr. provenaient de ses économies (PV aud. 4 ll. 40 ss). Quant à P.________, entendu à plusieurs reprises, il a soutenu de façon constante qu’il avait emporté uniquement 11'000 fr., qu’il avait laissé à son épouse 12'000 fr. et qu’il s’agissait d’économies du couple et non d’argent appartenant à son épouse (cf. PV aud. 1, ll. 137 ss et PV aud. 4 ll. 91 ss). Il résulte de ce qui précède que les déclarations des parties sont irrémédiablement contradictoires sur deux points. Le premier point est celui de savoir si l’époux a emporté 23'000 fr. ou seulement 11'000 fr. comme il l’admet. Les éléments au dossier ne permettent pas de trancher cette question sur la base des déclarations des parties sur ce point. En outre, contrairement à ce que soutient péremptoirement la recourante, il ne ressort ni des extraits de messages, ni des enregistrements vocaux qu’elle a produits que son époux aurait emporté 23'000 francs. On entend certes dans ces enregistrements – étant précisé qu’ils sont en grande partie inaudibles, respectivement incompréhensibles – qu’il est question d’argent et que la recourante reproche à son époux d’en avoir emporté, sans que celui-ci le conteste. Ce dernier ne reconnaît cependant pas expressément avoir emporté le montant qui lui est reproché d’avoir pris. Il n’est ainsi pas possible de départager les versions des parties sur cette base non plus. Enfin, aucune mesure d’instruction n’est susceptible de le permettre dès lors qu’il est question d’argent en espèces et qu’il n’est donc pas possible d’obtenir une preuve documentée comme dans l’hypothèse d’un retrait sur un compte bancaire. Les parties divergent également sur la question de savoir si l’argent en question appartenait uniquement à l’épouse ou s’il s’agissait</w:t>
      </w:r>
    </w:p>
    <w:p>
      <w:r>
        <w:t>- 7 - d’économies du couple. Or, en ce qui concerne ce point, ainsi qu’on l’a vu ci-avant, la recourante a commencé par déclarer lors de son audition- plainte qu’il s’agissait d’économies du couple puis a changé de version par la suite. Quant à son époux, il a été constant sur ce point. Là encore, les messages et enregistrements produits ne sont d’aucun secours à J.________ et on ne saurait la mettre au bénéfice de ses déclarations puisqu’elles ont varié. Du reste, sachant au terme de deux auditions de confrontation devant le Ministère public que son époux contestait son prétendu droit de propriété exclusif sur la somme qu’il avait emportée, la recourante aurait pu établir par pièces que l’argent lui appartenait en propre dans le délai au 7 mars 2025 imparti par l’avis de prochaine clôture du 27 février 2025 – par exemple en produisant les avis de retraits successifs qu’elle soutient avoir effectués à hauteur de 500 francs –, ce qu’elle n’a pas fait. En définitive, rien ne permet de considérer que l’argent en question ne constituait pas des économies du couple et donc un bien propriété de l’épouse exclusivement. Dans ces conditions, la recourante ne parviendrait de toute manière pas à établir qu’une condamnation du prévenu serait plus vraisemblable qu’un acquittement. Il s’ensuit que c’est à bon droit que le Ministère public a ordonné le classement de l’affaire. Pour le surplus, le classement des autres infractions visées par l’ordonnance attaquée n’est pas remis en cause par la recourante. 3. Au vu de ce qui précède, le recours doit être déclaré irrecevable, sans échange d’écritures (art. 390 al. 2 CPP). De toute manière, l’ordonnance du 28 avril 2025 est bien fondée. Les frais de la procédure de recours, constitués en l’espèce du seul émolument d’arrêt (art. 422 al. 1 CPP), par 770 fr. (art. 20 al. 1 TFIP [tarif des frais de procédure et indemnités en matière pénale du 28 septembre 2010 ; BLV 312.03.1]), seront mis à la charge de la recourante, qui succombe (art. 428 al. 1 CPP).</w:t>
      </w:r>
    </w:p>
    <w:p>
      <w:r>
        <w:t>- 8 - Par ces motifs, la Chambre des recours pénale prononce : I. Le recours est irrecevable. II. Les frais d’arrêt, par 770 fr. (sept cent septante francs), sont mis à la charge de J.________. III. L’arrêt est exécutoire. Le président : Le greffier : Du Le présent arrêt, dont la rédaction a été approuvée à huis clos, est notifié, par l'envoi d'une copie complète, à : - J.________, - P.________, - Ministère public central,</w:t>
      </w:r>
    </w:p>
    <w:p>
      <w:r>
        <w:t>- 9 -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