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PE24.005154 vom 16. Mai 2024</w:t>
      </w:r>
    </w:p>
    <w:p>
      <w:r>
        <w:t>VD Tribunal cantonal, 2024-05-16, FR</w:t>
      </w:r>
    </w:p>
    <w:p>
      <w:r>
        <w:rPr>
          <w:b/>
        </w:rPr>
        <w:t xml:space="preserve">Quelle: </w:t>
      </w:r>
      <w:r>
        <w:t>https://mcp.opencaselaw.ch/entscheid/vd_gerichte_PE24.005154</w:t>
      </w:r>
    </w:p>
    <w:p>
      <w:r>
        <w:t>FR: VD_GERICHTE PE24.005154 du 16 mai 2024</w:t>
      </w:r>
    </w:p>
    <w:p>
      <w:r>
        <w:t>IT: VD_GERICHTE PE24.005154 del 16 maggio 2024</w:t>
      </w:r>
    </w:p>
    <w:p>
      <w:pPr>
        <w:pStyle w:val="Heading2"/>
      </w:pPr>
      <w:r>
        <w:t>Erwägungen</w:t>
      </w:r>
    </w:p>
    <w:p>
      <w:r>
        <w:rPr>
          <w:b/>
        </w:rPr>
        <w:t>E. 1.1</w:t>
      </w:r>
    </w:p>
    <w:p>
      <w:r>
        <w:t>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LPréf [loi vaudoise sur les préfets et les préfectures du 27 mars 2007 ; BLV 172.165]).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Il en va ainsi de la décision par laquelle le préfet prend acte du retrait de l’opposition et déclare l’ordonnance pénale exécutoire, par exemple pour cause de défaut de l’opposant à l’audience à laquelle il a été assigné (art. 355 al. 2 CPP).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w:t>
      </w:r>
    </w:p>
    <w:p>
      <w:r>
        <w:t>- 4 - de sorte que la cause relève de la compétence d’un membre de la Chambre des recours pénale qui statue en tant que juge unique (art. 13 al. 2 LVCPP).</w:t>
      </w:r>
    </w:p>
    <w:p>
      <w:r>
        <w:rPr>
          <w:b/>
        </w:rPr>
        <w:t>E. 1.2</w:t>
      </w:r>
    </w:p>
    <w:p>
      <w:r>
        <w:t>Le recours a été interjeté, par le prévenu qui a qualité pour recourir (art. 382 al. 1 CPP), devant l’autorité compétente, en temps utile. Autre est toutefois la question de savoir s’il l’a été dans les formes prescrites.</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6B_1447/2022 du 14 mars 2023 consid. 1.1 et les réf. citées ; TF 1B_318/2021 du 25 janvier 2022 consid. 4.1 ad CREP 7 avril 2021/327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8 avril 2024/262 et les réf. citées).</w:t>
      </w:r>
    </w:p>
    <w:p>
      <w:r>
        <w:t>- 5 -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2.2</w:t>
      </w:r>
    </w:p>
    <w:p>
      <w:r>
        <w:t>En l’espèce, dans son acte de recours, le recourant plaide le fond de l’affaire, en remettant une copie de la carte grise de son véhicule. Il ne conteste aucunement ne pas s’être présenté à l’audience du 30 janvier 2024, ni ne pas avoir reçu le mandat de comparution. Ce faisant, il ne développe aucune moyen – factuel ou juridique – destiné à faire échec au constat de la préfecture selon lequel l’opposition qu’il a formée le 10 novembre 2023 est retirée, en raison de son défaut à l’audience du 30 janvier 2024. Le recours ne satisfait dès lors pas aux exigences de motivation de l’art. 385 al. 1 CPP. Un tel défaut de motivation ne saurait justifier qu’un délai supplémentaire soit imparti au recourant pour compléter son acte en application de l’art. 385 al. 2 CPP.</w:t>
      </w:r>
    </w:p>
    <w:p>
      <w:r>
        <w:rPr>
          <w:b/>
        </w:rPr>
        <w:t>E. 3</w:t>
      </w:r>
    </w:p>
    <w:p>
      <w:r>
        <w:t>Il résulte de ce qui précède que le recours doit être déclaré irrecevable, sans échange d’écritures (art. 390 al. 2 CPP).</w:t>
      </w:r>
    </w:p>
    <w:p>
      <w:r>
        <w:t>- 6 - Les frais de la procédure de recours, constitués du seul émolument d’arrêt, par 450 fr. (art. 20 al. 1 TFIP [tarif des frais de procédure et indemnités en matière pénale du 28 septembre 2010 ; BLV 312.03.1]), seront mis à la charge du recourant, qui succombe (art. 428 al. 1 CPP). Par ces motifs, la juge unique prononce : I. Le recours est irrecevable. II. Les frais d’arrêt, par 450 fr. (quatre cent cinquante francs), sont mis à la charge de B.________. III. L’arrêt est exécutoire. La juge unique : La greffière : Du Le présent arrêt, dont la rédaction a été approuvée à huis clos, est notifié, par l’envoi d’une copie complète, à : - M. B.________, - Ministère public central, et communiqué à : - M. le Préfet du district Jura-Nord vaudois, - M. le Procureur du Ministère public central, division affaires spéciales,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