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PE24.004866 vom 10. März 2025</w:t>
      </w:r>
    </w:p>
    <w:p>
      <w:r>
        <w:t>VD Tribunal cantonal, 2025-03-10, FR</w:t>
      </w:r>
    </w:p>
    <w:p>
      <w:r>
        <w:rPr>
          <w:b/>
        </w:rPr>
        <w:t xml:space="preserve">Quelle: </w:t>
      </w:r>
      <w:r>
        <w:t>https://mcp.opencaselaw.ch/entscheid/vd_gerichte_PE24.004866</w:t>
      </w:r>
    </w:p>
    <w:p>
      <w:r>
        <w:t>FR: VD_GERICHTE PE24.004866 du 10 mars 2025</w:t>
      </w:r>
    </w:p>
    <w:p>
      <w:r>
        <w:t>IT: VD_GERICHTE PE24.004866 del 10 marzo 2025</w:t>
      </w:r>
    </w:p>
    <w:p>
      <w:pPr>
        <w:pStyle w:val="Heading2"/>
      </w:pPr>
      <w:r>
        <w:t>Erwägungen</w:t>
      </w:r>
    </w:p>
    <w:p>
      <w:r>
        <w:rPr>
          <w:b/>
        </w:rPr>
        <w:t>E. 2</w:t>
      </w:r>
    </w:p>
    <w:p>
      <w:r>
        <w:t>CPP. C. a) Par acte daté du 12 septembre 2024, posté le lendemain, N.________, agissant seul, a recouru auprès de la Chambre de céans contre cette ordonnance, en concluant implicitement à son annulation. Par acte du 17 septembre 2024, N.________, par l’intermédiaire de son conseil, a déposé un recours, respectivement complété son premier recours, en concluant à ce que la consultation du dossier lui soit accordée et à l’annulation de l’ordonnance du 4 septembre 2024, la cause étant renvoyée au Ministère public pour reprise de la procédure d’instruction, subsidiairement pour qu’il soit statué dans le sens des considérants, les frais et dépens de la cause suivant le sort de celle-ci. b) Par avis du 2 octobre 2024, la Chambre de céans a imparti au recourant un délai au 22 octobre suivant pour effectuer un dépôt de 770 fr. à titre de sûretés, dépôt effectué en temps utile. c) Le 25 février 2025, dans le délai imparti en application de l’art. 390 al. 2 CPP, le Ministère public s’est déterminé, concluant au rejet des recours formés par N.________.</w:t>
      </w:r>
    </w:p>
    <w:p>
      <w:r>
        <w:t>- 7 - En d roit : 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tant le recours posté par N.________ le 13 septembre 2024 que celui rédigé par son conseil le 17 septembre 2024 ont été déposés en temps utile devant l’autorité compétente et dans les formes prescrites (art. 385 al. 1 CPP). Ils sont par conséquent tous deux recevables.</w:t>
      </w:r>
    </w:p>
    <w:p>
      <w:r>
        <w:rPr>
          <w:b/>
        </w:rPr>
        <w:t>E. 2.1</w:t>
      </w:r>
    </w:p>
    <w:p>
      <w:r>
        <w:t>Dans son recours daté du 12 septembre 2024, le recourant soutient que la motivation de l’ordonnance litigieuse serait légère, eu égard aux dommages personnels et financiers qu’il a subis, au fait qu’il n’a toujours pas récupéré la mobilité de son épaule et qu’il devra se faire opérer à nouveau. Il a ajouté qu’il avait vu le chien à l’origine de son accident venir du jardin de O.________ et y retourner après l’avoir attaqué. Dans le recours, respectivement complément de recours, qu’il a interjeté par l’intermédiaire de son conseil le 17 septembre 2024, le recourant invoque une violation de l’art. 310 al. 1 CPP et une constatation incomplète des faits. Faisant valoir son droit d’être entendu, il requiert de pouvoir consulter le dossier et formuler des réquisitions de preuve. A cet égard, il soutient qu’il faudrait que le Ministère public procède à son audition, ainsi qu’à celles d’I.________ pour que des photographies des chiens lui soient présentées et de L.________ pour déterminer où le chien de celle-ci se trouvait au moment des faits. En outre, il y aurait eu de</w:t>
      </w:r>
    </w:p>
    <w:p>
      <w:r>
        <w:t>- 8 - nombreux incidents impliquant le chien à l’origine de l’accident du recourant. Il se justifierait par conséquent d’accorder un délai à ce dernier pour réunir les coordonnées des témoins qui pourraient témoigner de ces événements qui seraient récurrents. Dans ses déterminations du 25 février 2025, le Ministère public relève entre autres qu’il n’a jamais été saisi par le recourant d’une demande de consultation du dossier, même après la reddition de l’ordonnance litigieuse lorsque le dossier était encore en sa possession. Il en découle que la requête tendant aux auditions du recourant, d’I.________ et de L.________ tombent à faux, puisqu’ils ont tous déjà été entendus. A cela s’ajoute, selon la Procureure, qu’on ne voit pas quelle mesure d’instruction permettrait d’identifier le propriétaire du chien concerné et de déterminer le cas échéant, si celui-ci a commis une faute en lien de causalité naturelle et adéquate avec la chute du recourant et, partant, avec ses lésions.</w:t>
      </w:r>
    </w:p>
    <w:p>
      <w:r>
        <w:rPr>
          <w:b/>
        </w:rPr>
        <w:t>E. 2.2.1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7B_115/2023 du 12 juillet 2024 consid. 4.1 ; TF 7B_24/2023 et 7B_25/2023 du 22 février 2024 consid. 3.2).</w:t>
      </w:r>
    </w:p>
    <w:p>
      <w:r>
        <w:t>- 9 -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Il en va de même lorsque la partie plaignante fait état de simples suppositions ; en effet, les indices relatifs à la commission d’une infraction impliquant l’ouverture d’une instruction doivent être importants et de nature concrète (TF 6B_212/2020 du 21 avril 2021 consid. 2.2 et les références citées ; TF 6B_196/2020 du 14 octobre 2020 consid. 3.1).</w:t>
      </w:r>
    </w:p>
    <w:p>
      <w:r>
        <w:rPr>
          <w:b/>
        </w:rPr>
        <w:t>E. 2.2.2</w:t>
      </w:r>
    </w:p>
    <w:p>
      <w:r>
        <w:t>Le droit d'être entendu, tel qu'il est garanti par l'art. 29 al. 2 Cst. (Constitution fédérale de la Confédération suisse du 18 avril 1999 ; RS 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145 I 73 consid. 7.2.2.1). 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 6B_382/2022 du 12 septembre 2022 consid. 2.1.2 ; TF 6B_191/2021 du 11 août 2021 consid. 7.2.2 ; TF 6B_1007/2020 du 13 avril 2021 consid. 2.3 ;</w:t>
      </w:r>
    </w:p>
    <w:p>
      <w:r>
        <w:t>- 10 - TF 6B_290/2020 du 17 juillet 2020 consid. 2.2).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6B_191/2021 précité consid. 7.2.2 ; TF 6B_1014/2020 du 10 février 2021 consid. 2.1.2 ; TF 6B_290/2020 précité consid. 7.2.2).</w:t>
      </w:r>
    </w:p>
    <w:p>
      <w:r>
        <w:rPr>
          <w:b/>
        </w:rPr>
        <w:t>E. 2.2.3</w:t>
      </w:r>
    </w:p>
    <w:p>
      <w:r>
        <w:t>Aux termes de l’art. 125 al. 1 CP, quiconque, par négligence, fait subir à une personne une atteinte à l’intégrité corporelle ou à la santé est, sur plainte, puni d’une peine privative de liberté de trois ans au plus ou d’une peine pécuniaire. Si la lésion est grave, l’auteur est poursuivi d’office (art. 125 al. 2 CP). Cette infraction suppose la réalisation de trois conditions, à savoir une négligence, une atteinte à l'intégrité physique et un lien de causalité naturelle et adéquate entre ces deux éléments (TF 6B_286/2022 du 15 juin 2023 consid. 4.1.1 ; TF 6B_375/2022 du 28 novembre 2022 consid. 3.1.1 ; TF 6B_491/2021 du 23 mai 2022 consid. 2.1). La négligence suppose en premier lieu la violation d'un devoir de prudence (cf. art. 12 al. 3 CP).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143 IV 138 consid. 2.1 ; ATF 135 IV 56 consid. 2.1 et les références citées ; TF 6B_1295/2021 du 16 juin 2022 consid. 2.1.1). En second lieu, la violation du devoir de prudence doit être fautive, c'est-à-dire qu'il faut pouvoir reprocher à l'auteur une inattention</w:t>
      </w:r>
    </w:p>
    <w:p>
      <w:r>
        <w:t>- 11 - ou un manque d'effort blâmable (ATF 145 IV 154 consid. 2.1 ; ATF 135 IV 56 consid. 2.1 ; ATF 134 IV 255 consid. 4.2.3 et les références citées). Un comportement constitutif d'une négligence consiste en général en un comportement actif, mais peut aussi avoir trait à un comportement passif contraire à une obligation d'agir (cf. art. 11 al. 1 CP). Reste passif en violation d'une obligation d'agir celui qui n'empêche pas la mise en danger ou la lésion d'un bien juridique protégé par la loi pénale bien qu'il y soit tenu à raison de sa situation juridique, notamment en vertu de la loi, d'un contrat, d'une communauté de risque librement consentie ou de la création d'un risque (art. 11 al. 2 let. a-d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 1.1 ; ATF 134 IV 255 consid. 4.2.1 et les références citées). Dans ce sens, l'art. 56 al. 1 CO prévoit qu'en cas de dommage causé par un animal, la personne qui le détient est responsable, si elle ne prouve qu'elle l'a gardé et surveillé avec toute l'attention commandée par les circonstances ou que sa diligence n'eût pas empêché le dommage de se produire (cf. TF 6B_1084/2009 du 29 juillet 2010 consid. 3). En droit cantonal vaudois, l'art. 16 al. 2 LPolC (loi sur la police des chiens du 31 octobre 2006 ; BLV 133.75) prévoit que tout détenteur d'un chien doit être en mesure de le maîtriser à tout moment par un moyen sonore ou par le geste, en particulier en présence de public ou d'animaux. A défaut, le chien doit être tenu en laisse et si nécessaire porter une muselière.</w:t>
      </w:r>
    </w:p>
    <w:p>
      <w:r>
        <w:t>- 12 -</w:t>
      </w:r>
    </w:p>
    <w:p>
      <w:r>
        <w:rPr>
          <w:b/>
        </w:rPr>
        <w:t>E. 2.3</w:t>
      </w:r>
    </w:p>
    <w:p>
      <w:r>
        <w:t>La Cour ne partage pas l’appréciation du Ministère public. Plusieurs éléments réunis par la gendarmerie auraient en effet dû conduire à l’ouverture d’une instruction. Premièrement, il faut relever que les deux plaignants ont indiqué que le chien qui s’en est pris à leurs montures avait surgi de la propriété de O.________. N.________ a également précisé qu’il avait vu au loin ce chien aboyer depuis cette propriété et y retourner après avoir attaqué son cheval. Deuxièmement, L.________ a affirmé que sa chienne devait se trouver chez elle au moment des faits et que son comportement n’avait jamais donné lieu à des plaintes. Troisièmement, il ressort des observations de la Police des chiens que l’éducation de O.________ est lacunaire et que son chien s’est montré stressé lors de l’évaluation. Ainsi force est de constater que contrairement à ce que O.________ a dit aux gendarmes, son chien n’est pas « dressé ». Il ne le garde de surcroît pas constamment « en vue », puisqu’il ressort des messages de cavaliers produits par le recourant qu’A.________ semblait un jour perdu dans la forêt de [...]. Du reste, parmi les recommandations de la Police des chiens figurait l’obligation pour O.________ de garder son chien à l’intérieur. Il apparaît enfin qu’A.________ a manifestement un problème avec les chevaux, ce que O.________ a admis en déclarant vouloir organiser une rencontre avec un cavalier, un éducateur canin et son chien, afin que celui-ci cesse d’aboyer les chevaux. A ces éléments s’ajoute que les plaignants ont tous deux indiqué dans leurs plaintes que le comportement du chien de O.________ était à l’origine d’incidents récurrents. I.________ a affirmé que des cavaliers n’osaient plus passer dans le secteur et qu’ils avaient constaté une dégradation de la situation, « le chien » devenant de plus en plus agressif. Cet animal aurait par ailleurs attaqué le char d’attelage d’Y.________, qui est, selon N.________, la propriétaire du domaine du [...] venue lui porter secours le jour des faits. Il ressort par ailleurs de ses propres déclarations que O.________ a « souvent » eu des contacts avec des cavaliers à propos de son chien (PV aud. 1, R. 13). Enfin, l’un d’entre eux a identifié A.________ dans les échanges de messages WhatsApp au dossier (cf. P. 9/3).</w:t>
      </w:r>
    </w:p>
    <w:p>
      <w:r>
        <w:t>- 13 - A ces éléments s’ajoute le fait qu’il ne ressort pas du dossier que l’autre chien en cause aurait un quelconque problème de comportement, ni aurait eu un tel problème par le passé, en particulier avec les chevaux. Le fait que le recourant n’ait pas été capable, ou avec peine, d’identifier le chien qui s’est attaqué à sa monture sur la planche photographique créée pour l’occasion n’est pas déterminant, étant donné que les deux chiens en cause se ressemblent et que cette planche photographique lui a été soumise cinq mois après les faits (cf. PV aud. 4). Au demeurant, lorsque ces photographies lui ont été présentées, le recourant lui-même a déclaré que le débat était faussé puisqu’il savait quel était le chien de O.________ (cf. PV aud. 4). A ce stade, l’infraction de lésions corporelles simples voire graves par négligence ne saurait être exclue, une violation fautive du devoir de prudence pouvant vraisemblablement être retenue à l’encontre du propriétaire du chien qui s’est attaqué au cheval du recourant, alors qu’il était laissé en totale liberté et sans surveillance en violation des obligations susmentionnées, et qu’il avait potentiellement déjà eu des problèmes avec des chevaux. Au vu de l’ensemble de ces éléments et en présence de lésions corporelles potentiellement graves, le Ministère public devait entrer en matière et instruire l’affaire afin de déterminer notamment si, comme le prétendent les plaignants, le chien de O.________ n’est pas gardé et surveillé avec toute l’attention commandée par les circonstances et a causé de façon récurrente des problèmes à des cavaliers. Le dossier de la cause devant être renvoyé au Ministère public, le recourant pourra réitérer sa demande de consultation du dossier et formuler ses réquisitions de preuve auprès de ce dernier.</w:t>
      </w:r>
    </w:p>
    <w:p>
      <w:r>
        <w:rPr>
          <w:b/>
        </w:rPr>
        <w:t>E. 3</w:t>
      </w:r>
    </w:p>
    <w:p>
      <w:r>
        <w:t>En définitive, le recours doit être admis et l’ordonnance entreprise annulée. Le dossier de la cause sera renvoyé au Ministère public pour qu’il procède dans le sens des considérants.</w:t>
      </w:r>
    </w:p>
    <w:p>
      <w:r>
        <w:t>- 14 -</w:t>
      </w:r>
    </w:p>
    <w:p>
      <w:r>
        <w:rPr>
          <w:b/>
        </w:rPr>
        <w:t>E. 3.1</w:t>
      </w:r>
    </w:p>
    <w:p>
      <w:r>
        <w:t>Vu l’admission du recours, les frais de la procédure, constitués en l’espèce du seul émolument d'arrêt, par 1’430 fr. (art. 20 al. 1 TFIP [tarif des frais de procédure et indemnités en matière pénale du 28 septembre 2010 ; BLV 312.03.1]), seront laissés à la charge de l’Etat (art. 428 al. 4 CPP). Le montant de 770 fr. versé par le recourant à titre de sûretés lui sera par ailleurs restitué (art. 7 TFIP).</w:t>
      </w:r>
    </w:p>
    <w:p>
      <w:r>
        <w:rPr>
          <w:b/>
        </w:rPr>
        <w:t>E. 3.2</w:t>
      </w:r>
    </w:p>
    <w:p>
      <w:r>
        <w:t>Le recourant, qui a procédé avec l’assistance d’un conseil de choix et qui a obtenu gain de cause, a droit, de la part de l’Etat, à une indemnité pour les dépenses occasionnées par la procédure de recours (art. 433 al. 1 let. a CPP, applicable par renvoi de l’art. 436 al. 1 CPP). Au vu du mémoire déposé et de la nature de l’affaire, cette indemnité sera fixée à 1’200 fr., correspondant à quatre heures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24 fr., plus la TVA au taux de 8,1 %, par 99 fr. 15, soit à 1’324 fr. au total en chiffres arrondis. Par ces motifs, la Chambre des recours pénale prononce : I. Le recours est admis. II. L’ordonnance du 4 septembre 2024 est annulée. III. Le dossier de la cause est renvoyé au Ministère public de l’arrondissement de l’Est vaudois pour qu’il procède dans le sens des considérants. IV. Les frais d’arrêt, par 1’430 fr. (mille quatre cent trente francs), sont laissés à la charge de l’Etat. V. Le montant de 770 fr. (sept cent septante francs) versé par N.________ à titre de sûretés lui est restitué.</w:t>
      </w:r>
    </w:p>
    <w:p>
      <w:r>
        <w:t>- 15 - VI. Une indemnité de 1’324 fr. (mille trois cent vingt-quatre francs) est allouée au recourant pour les dépenses occasionnées par la procédure de recours, à la charge de l’Etat. VII. L’arrêt est exécutoire. Le président : La greffière : Du Le présent arrêt, dont la rédaction a été approuvée à huis clos, est notifié, par l'envoi d'une copie complète, à : - Me Laurence Veya, avocate (pour N.________), - Ministère public central, et communiqué à : - M. I.________, - M. O.________,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