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PE24.004766 vom 27. Mai 2024</w:t>
      </w:r>
    </w:p>
    <w:p>
      <w:r>
        <w:t>VD Tribunal cantonal, 2024-05-27, FR</w:t>
      </w:r>
    </w:p>
    <w:p>
      <w:r>
        <w:rPr>
          <w:b/>
        </w:rPr>
        <w:t xml:space="preserve">Quelle: </w:t>
      </w:r>
      <w:r>
        <w:t>https://mcp.opencaselaw.ch/entscheid/vd_gerichte_PE24.004766</w:t>
      </w:r>
    </w:p>
    <w:p>
      <w:r>
        <w:t>FR: VD_GERICHTE PE24.004766 du 27 mai 2024</w:t>
      </w:r>
    </w:p>
    <w:p>
      <w:r>
        <w:t>IT: VD_GERICHTE PE24.004766 del 27 maggio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- 5 - 2009 ; BLV 312.01] ; art. 80 LOJV [loi vaudoise d’organisation judiciaire du 12 décembre 1979 ; BLV 173.01]). Interjeté dans le délai légal et dans les formes prescrites (art. 385 al. 1 CPP), par la partie plaignante qui a qualité pour recourir (art. 382 al. 1 CPP), le recours est recevable.</w:t>
      </w:r>
    </w:p>
    <w:p>
      <w:r>
        <w:rPr>
          <w:b/>
        </w:rPr>
        <w:t>E. 2</w:t>
      </w:r>
    </w:p>
    <w:p>
      <w:r>
        <w:t>La recourante invoque une violation du principe « in dubio pro duriore ».</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w:t>
      </w:r>
    </w:p>
    <w:p>
      <w:r>
        <w:t>- 6 -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2.1.2</w:t>
      </w:r>
    </w:p>
    <w:p>
      <w:r>
        <w:t>Selon l’art. 3 OCas-COVID-19, ordonnance désormais abrogée mais en vigueur au moment où R.________ a sollicité le prêt litigieux, une organisation de cautionnement accorde sans formalités un cautionnement solidaire unique pour des crédits bancaires jusqu’à concurrence de 500 000 francs,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COVID-19 en vertu de la présente ordonnance (banque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cautionnement si la banque créancière a reçu la convention de crédit visée à l’annexe 2 signée par le requérant et a</w:t>
      </w:r>
    </w:p>
    <w:p>
      <w:r>
        <w:t>- 7 - envoyé la convention de crédit au registre central désigné par les organisations de cautionnement ou libéré le montant du crédit correspondant en faveur du client (al. 3). Selon l'art. 6 al. 3 OCaS-COVID-19, sont exclus pendant la durée du cautionnement solidaire : la distribution de dividendes et de tantièmes ainsi que le remboursement d’apports de capital (let. a) ;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 le remboursement de prêts intragroupes (let. c) ; le transfert de fonds garantis par un cautionnement solidaire visé par la présente ordonnance à une société du groupe n’ayant pas son siège en Suisse liée directement ou indirectement au requérant (let. d). L’art. 7 al. 1 OCaS-COVID-19 quant à lui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Un régime différent est applicable en vertu de l’alinéa 2 de la disposition si l’activité commerciale a commencé à partir du 1er janvier 2020 ou si la durée de l’exercice est supérieure à une année en raison du début de l’activité en 2019. En vertu de l’art. 11 al. 1 OCas-COVID-19, pour les crédits cautionnés au sens de l’art. 3, la transmission à la banque de la convention de crédit signée par le requérant est réputée demande. Selon l’alinéa 2, le requérant confirme par écrit ou par tout autre moyen permettant d’en établir la forme par un texte que les données figurant dans le formulaire de demande sont complètes et véridiques. Les organisations de cautionnement ne vérifient que l’exhaustivité et l’exactitude formelle des demandes de cautionnement solidaire (al. 3).</w:t>
      </w:r>
    </w:p>
    <w:p>
      <w:r>
        <w:t>- 8 - L'art. 23 OCas-COVID-19 punit d’une amende jusqu’à 100'000 fr. quiconque, intentionnellement, obtient un crédit en vertu de la présente ordonnance en fournissant de fausses indications ou utilise les fonds en dérogation à l’art. 6, al. 3. Une infraction plus grave est réservée.</w:t>
      </w:r>
    </w:p>
    <w:p>
      <w:r>
        <w:rPr>
          <w:b/>
        </w:rPr>
        <w:t>E. 2.1.3</w:t>
      </w:r>
    </w:p>
    <w:p>
      <w:r>
        <w:t>L’OCaS-COVID-19 a été abrogée le 19 décembre 2020 et remplacée par la LCaS-COVID-19, entrée en vigueur le 18 décembre 2020. L’article 25 al. 1 LCaS-COVID-19 (qui reprend en substance l’art. 23 OCaS- COVID-19) prévoit que quiconque, de manière intentionnelle, obtient un crédit en vertu de l’OCaS-COVID-19 en fournissant de fausses indications ou viole une ou plusieurs prescriptions de l’article 2, al. 2 à 4 de cette même loi, est puni d’une amende de 100'000 francs au plus. La commission d’une infraction pénale plus grave au sens du code pénal est réservée.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w:t>
      </w:r>
    </w:p>
    <w:p>
      <w:r>
        <w:t>- 9 - L'art. 2 al. 3 LCaS-COVID-19 prévoit que les fonds issus de crédits cautionnés en vertu de l’OCaS-COVID-19 ne peuvent pas être utilisés pour la restructuration financière de crédits préexistants. Ils peuvent toutefois être affectés : au refinancement de découverts accumulés depuis le 23 mars 2020 auprès de la banque ayant octroyé le crédit cautionné en vertu de l’OCaS-COVID-19 (let. a) ; aux obligations ordinaires préexistantes de payer des intérêts et des charges d’amortissements (let. b). Aux termes de l'art. 2 al. 4 LCaS-COVID-19, aucune restriction ne peut être faite concernant les obligations de payer des intérêts et des charges d’amortissements relatifs aux crédits bancaires ayant été contractés en même temps qu’un crédit cautionné en vertu de l’OCaS- COVID-19 ou après un tel crédit.</w:t>
      </w:r>
    </w:p>
    <w:p>
      <w:r>
        <w:rPr>
          <w:b/>
        </w:rPr>
        <w:t>E. 2.2.1</w:t>
      </w:r>
    </w:p>
    <w:p>
      <w:r>
        <w:t>La recourante invoque une violation de l’art. 7 OCaS-COVID-19. Elle soutient que les prévenus auraient contrevenu à cette disposition, en indiquant dans la convention de crédit un montant du chiffre d’affaires trop élevé, soit 600'000 fr. au lieu de 590'205 fr. 52. Quand bien même la différence entre les deux montants, soit 11'494 fr. 48, serait minime, il n’en demeurerait pas moins que le montant indiqué dans la convention de crédit serait faux. La recourante considère en outre que le chiffre de 590'205 fr. 52 ne reposerait que sur les documents fournis par les prévenus, qui n’ont même pas été entendus. Or, dès lors qu’il y a une différence, il faudrait vérifier que la comptabilité produite est complète et correcte. A ce stade, une infraction ne pourrait pas être exclue.</w:t>
      </w:r>
    </w:p>
    <w:p>
      <w:r>
        <w:rPr>
          <w:b/>
        </w:rPr>
        <w:t>E. 2.2.2</w:t>
      </w:r>
    </w:p>
    <w:p>
      <w:r>
        <w:t>En l’espèce, R.________ a rempli et signé le formulaire de demande d’octroi d’un prêt COVID-19. Dans ce formulaire, sous « bloc 1 – chiffre d’affaires », il est précisé que le chiffre d’affaires doit être le chiffre d’affaires définitif de 2019, à défaut le chiffre d’affaires provisoire de 2019 ou à défaut le chiffre d’affaires définitif de 2018. Cette consigne était claire. Aussi, le fait d’indiquer un montant incorrect pourrait être constitutif d’une infraction pénale sous l’angle des art. 23 OCaS-COVID-19</w:t>
      </w:r>
    </w:p>
    <w:p>
      <w:r>
        <w:t>- 10 - et 25 LCaS-COVID-19. Cela étant, en l’absence de toute enquête et de tout contrôle des pièces comptables produites, il n’est pas possible pour la Chambre de céans de vérifier si le chiffre d’affaires annoncé correspond peu ou prou au chiffre d’affaires réalisé dans les années de référence, respectivement de vérifier si, sur ce point, la réglementation sur les cautionnements solidaires liés au COVID-19 a été correctement appliquée.</w:t>
      </w:r>
    </w:p>
    <w:p>
      <w:r>
        <w:rPr>
          <w:b/>
        </w:rPr>
        <w:t>E. 2.3.1</w:t>
      </w:r>
    </w:p>
    <w:p>
      <w:r>
        <w:t>La recourante invoque une violation des art. 6 OCaS-COVID-19 et 2 LCaS-COVID-19. Elle soutient d’abord que les restrictions d’utilisation prévues par ces deux dispositions étaient interdites durant toute la période du cautionnement et non pas seulement durant la période d’existence de liquidités provenant du crédit COVID-19 ou jusqu’à épuisement d’un montant égal à ce crédit. Elle reproche ainsi au Ministère public d’avoir retenu que les utilisations potentiellement litigieuses avaient eu lieu en 2021, soit à une période où le montant de crédit avait déjà été épuisé. Elle soutient ensuite, s’agissant du remboursement en faveur de R.________, que le fait que la situation ait été finalement « corrigée » par ce prévenu, qui aurait remboursé plus que la société lui aurait prêté, correction faite avant la faillite, ne changerait rien au fait que l’utilisation des fonds n’était initialement pas conforme.</w:t>
      </w:r>
    </w:p>
    <w:p>
      <w:r>
        <w:rPr>
          <w:b/>
        </w:rPr>
        <w:t>E. 2.3.2</w:t>
      </w:r>
    </w:p>
    <w:p>
      <w:r>
        <w:t>En l’espèce, on doit admettre avec la recourante que, selon le texte légal, l’utilisation du crédit conformément aux exigences de la réglementation sur les cautionnements solidaires liés au COVID-19 doit perdurer pendant la durée du cautionnement, d’une part, et que les dirigeants ne peuvent pas « corriger » après coup une utilisation du crédit non conforme aux exigences légales, d’autre part.</w:t>
      </w:r>
    </w:p>
    <w:p>
      <w:r>
        <w:rPr>
          <w:b/>
        </w:rPr>
        <w:t>E. 2.4</w:t>
      </w:r>
    </w:p>
    <w:p>
      <w:r>
        <w:t>Au vu des éléments qui précèdent, on ne saurait, à ce stade, exclure d’emblée une violation des art. 23 OCaS-COVID-19 et 25 LCaS- COVID-19. C’est donc à tort que le Ministère public a prononcé une non- entrée en matière. Il lui appartiendra dès lors d’ouvrir une instruction pénale pour examiner si les soupçons de la recourante se confirment, en</w:t>
      </w:r>
    </w:p>
    <w:p>
      <w:r>
        <w:t>- 11 - procédant à des mesures d’instruction permettant notamment de vérifier la comptabilité de D.________Sàrl. Au surplus, on relèvera que la plainte avait été déposée aussi pour abus de confiance et faux dans les titres. Or, l'ordonnance attaquée ne contient aucune motivation sur ces questions. On est donc en présence d’une non-entrée en matière implicite sur ces infractions. Quand bien même le recours ne développe aucun argument sur ce point, il convient d’annuler cette ordonnance implicite au même titre que l’ordonnance attaquée en tant que telle et de renvoyer le dossier au Ministère public pour qu’il examine aussi les faits sous cet angle.</w:t>
      </w:r>
    </w:p>
    <w:p>
      <w:r>
        <w:rPr>
          <w:b/>
        </w:rPr>
        <w:t>E. 3</w:t>
      </w:r>
    </w:p>
    <w:p>
      <w:r>
        <w:t>En définitive, le recours doit être admis, l'ordonnance attaquée annulée et le dossier de la cause renvoyé au Ministère public de l’arrondissement de Lausanne pour qu’il procède dans le sens des considérants. Les frais de la procédure de recours, constitués en l’espèce du seul émolument d'arrêt, par 1’210 fr. (art. 20 al. 1 TFIP [Tarif des frais judiciaires et indemnités en matière pénale du 28 septembre 2010 ; BLV 312.03.1]), seront laissés à la charge de l’Etat (art. 428 al. 4 CPP). Obtenant gain de cause, la recourante, qui a procédé avec l’assistance d’un avocat de choix, a droit à une indemnité pour les dépenses occasionnées par la procédure de recours (art. 433 al. 1 let. a CPP, applicable par renvoi de l’art. 436 al. 1 CPP). L’avocate de la recourante a déposé une liste d’opérations, dont il n’y a pas lieu de s’écarter. Il sera par conséquent retenu 5,65 heures d’activité nécessaire. Au tarif horaire de 300 fr. (art. 26a al. 3 TFIP [tarif des frais de procédure et indemnités en matière pénale du 28 septembre 2010 ; BLV 312.03.1]), le défraiement s’élève à 1’695 francs. Il faut y ajouter 2 % pour les débours forfaitaires (art. 3bis al. 1 RAJ [règlement sur l'assistance judiciaire en matière civile du 7 décembre 2010 ; BLV 211.02.3] par renvoi de l’art. 26a al. 6 TFIP), soit 33 fr. 90, et 8,1 % de TVA sur le tout, soit 104 fr. 05, ce qui représente une indemnité de 1'869 fr. en chiffres arrondis.</w:t>
      </w:r>
    </w:p>
    <w:p>
      <w:r>
        <w:t>- 12 - Par ces motifs, la Chambre des recours pénale prononce : I. Le recours est admis. II. L’ordonnance du 27 mars 2024 est annulée. III. Le dossier de la cause est renvoyé au Ministère public de l’arrondissement de Lausanne pour qu’il procède dans le sens des considérants. IV. Les frais d’arrêt, par 1'210 fr. (mille deux cent dix francs), sont laissés à la charge de l’Etat. V. Une indemnité de 1'869 fr. (mille huit cent soixante-neuf francs) est allouée à T.________, pour la procédure de recours, à la charge de l’Etat. VI. L’arrêt est exécutoire. Le président : La greffière : Du Le présent arrêt, dont la rédaction a été approuvée à huis clos, est notifié, par l'envoi d'une copie complète, à : - Me Rose Örer, avocate (pour T.________), - Ministère public central ; et communiqué à :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