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PE24.004560 vom 15. April 2025</w:t>
      </w:r>
    </w:p>
    <w:p>
      <w:r>
        <w:t>VD Tribunal cantonal, 2025-04-15, FR</w:t>
      </w:r>
    </w:p>
    <w:p>
      <w:r>
        <w:rPr>
          <w:b/>
        </w:rPr>
        <w:t xml:space="preserve">Quelle: </w:t>
      </w:r>
      <w:r>
        <w:t>https://mcp.opencaselaw.ch/entscheid/vd_gerichte_PE24.004560</w:t>
      </w:r>
    </w:p>
    <w:p>
      <w:r>
        <w:t>FR: VD_GERICHTE PE24.004560 du 15 avril 2025</w:t>
      </w:r>
    </w:p>
    <w:p>
      <w:r>
        <w:t>IT: VD_GERICHTE PE24.004560 del 15 aprile 2025</w:t>
      </w:r>
    </w:p>
    <w:p>
      <w:pPr>
        <w:pStyle w:val="Heading2"/>
      </w:pPr>
      <w:r>
        <w:t>Erwägungen</w:t>
      </w:r>
    </w:p>
    <w:p>
      <w:r>
        <w:rPr>
          <w:b/>
        </w:rPr>
        <w:t>E. 4</w:t>
      </w:r>
    </w:p>
    <w:p>
      <w:r>
        <w:t>et 413 CPP). Il s'agit de deux étapes d'une seule et même procédure, pour laquelle la juridiction d'appel est compétente (art. 412 al. 1 et 3 CPP). L'examen préalable de la demande de révision relève de la procédure écrite (art. 412 al. 1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13J015</w:t>
      </w:r>
    </w:p>
    <w:p>
      <w:r>
        <w:t>- 4 - 1.2 En l’espèce, dans sa demande de révision, s’il semble contester la peine à laquelle il a été condamné dans la cause PE24.***, D.________ n’expose toutefois pas, ni a fortiori ne justifie, les motifs de révision. A défaut de motivation, la demande ne remplit manifestement pas les conditions de l’art. 411 al. 1 CPP. Par conséquent, il n’y a pas lieu d’entrer en matière sur la demande de révision, celle-ci étant manifestement irrecevable au sens de l’art. 412 al. 2 CPP. 2. En définitive, la demande de révision déposée par D.________ doit être déclarée irrecevable, sans échange d’écritures (art. 412 al. 2 CPP). Les frais de la procédure de révision, constitués du seul émolument d'arrêt, par 330 fr. (art. 21 al. 1 TFIP [tarif des frais de procédure et indemnités en matière pénale du 28 septembre 2010 ; BLV 312.03.1], par renvoi de l’art. 22 TFIP), seront mis à la charge du requérant, qui est réputé avoir succombé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