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PE24.004501 vom 7. Juni 2024</w:t>
      </w:r>
    </w:p>
    <w:p>
      <w:r>
        <w:t>VD Tribunal cantonal, 2024-06-07, FR</w:t>
      </w:r>
    </w:p>
    <w:p>
      <w:r>
        <w:rPr>
          <w:b/>
        </w:rPr>
        <w:t xml:space="preserve">Quelle: </w:t>
      </w:r>
      <w:r>
        <w:t>https://mcp.opencaselaw.ch/entscheid/vd_gerichte_PE24.004501</w:t>
      </w:r>
    </w:p>
    <w:p>
      <w:r>
        <w:t>FR: VD_GERICHTE PE24.004501 du 7 juin 2024</w:t>
      </w:r>
    </w:p>
    <w:p>
      <w:r>
        <w:t>IT: VD_GERICHTE PE24.004501 del 7 giugno 2024</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w:t>
      </w:r>
    </w:p>
    <w:p>
      <w:r>
        <w:t>- 3 - procédure. Le prononcé par lequel un tribunal de première instance prend acte du retrait d’une opposition formée contre une ordonnance pénale (cf. art. 356 al. 3 et 4 CPP) est susceptible de recours selon les art. 393 ss CPP (CREP 17 juillet 2023/580 consid. 1.1; CREP 7 juillet 2022/506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rPr>
          <w:b/>
        </w:rPr>
        <w:t>E. 1.2</w:t>
      </w:r>
    </w:p>
    <w:p>
      <w:r>
        <w:t>Le recours a été interjeté en temps utile, par le prévenu qui a qualité pour recourir (art. 382 al. 1 CPP), devant l’autorité de première instance, qui l’a transmis à l’autorité compétente (art. 91 al. 4 CPP). Il est recevable sous cet angle et sous réserve de ce qui suit.</w:t>
      </w:r>
    </w:p>
    <w:p>
      <w:r>
        <w:rPr>
          <w:b/>
        </w:rPr>
        <w:t>E. 2</w:t>
      </w:r>
    </w:p>
    <w:p>
      <w:r>
        <w:t>Dans son recours, S.________ conteste la motivation de l'ordonnance pénale du 27 mars 2024, estime que le procureur n'a pas assez tenu compte de sa version, se plaint de la révocation de son précédent sursis, et formule des regrets en précisant que son intervention au domicile de la plaignante avait un but protecteur.</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w:t>
      </w:r>
    </w:p>
    <w:p>
      <w:r>
        <w:t>- 4 - changés et quelle formulation devrait avoir la nouvelle décision si le recours était admis (Bähler, in : Niggli/ Heer/Wiprächtiger [éd.], Basler Kommentar, Schweizerische Strafprozessordnung, Jugendstrafprozessordnung, Art. 196-457 StPO – Art. 1-54 JStPO, 3e éd.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Jeanneret/Kuhn/Perrier Depeursinge [éd.], Commentaire romand, Code de procédure pénale suisse, 2e éd. 2019, n. 21 ad art. 385 CPP ; Guidon, in : Basler Kommentar, op. cit., n. 9c ad art. 396 StPO et les références citées).</w:t>
      </w:r>
    </w:p>
    <w:p>
      <w:r>
        <w:rPr>
          <w:b/>
        </w:rPr>
        <w:t>E. 2.1.2</w:t>
      </w:r>
    </w:p>
    <w:p>
      <w:r>
        <w:t>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w:t>
      </w:r>
    </w:p>
    <w:p>
      <w:r>
        <w:t>- 5 -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w:t>
      </w:r>
    </w:p>
    <w:p>
      <w:r>
        <w:rPr>
          <w:b/>
        </w:rPr>
        <w:t>E. 2.1.3</w:t>
      </w:r>
    </w:p>
    <w:p>
      <w:r>
        <w:t>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(cf. p. ex. TF 6B_1447/2022 précité ; CREP 2 octobre 2023/808).</w:t>
      </w:r>
    </w:p>
    <w:p>
      <w:r>
        <w:rPr>
          <w:b/>
        </w:rPr>
        <w:t>E. 2.2</w:t>
      </w:r>
    </w:p>
    <w:p>
      <w:r>
        <w:t>En l’espèce, l’acte de recours ne comporte aucun moyen dirigé contre les motifs ou le dispositif du prononcé et qui, en se référant aux considérants de la décision attaquée, commanderait de rendre une autre décision. En effet, le recourant se contente de revenir sur le fond mais ne discute aucunement l'irrecevabilité de son opposition pour cause de tardiveté. Le recours ne satisfait dès lors pas aux exigences de motivation de l'art. 385 al. 1 CPP.</w:t>
      </w:r>
    </w:p>
    <w:p>
      <w:r>
        <w:rPr>
          <w:b/>
        </w:rPr>
        <w:t>E. 3</w:t>
      </w:r>
    </w:p>
    <w:p>
      <w:r>
        <w:t>Au vu de ce qui précède que le recours doit être déclaré irrecevable sans échange d’écritures (art. 390 al. 2 CPP). Les frais de la procédure de recours, constitués du seul émolument d’arrêt, par 550 fr. (art. 20 al. 1 TFIP [tarif des frais de procédure et indemnités en matière pénale du 28 septembre 2010 ; BLV</w:t>
      </w:r>
    </w:p>
    <w:p>
      <w:r>
        <w:t>- 6 - 312.03.1]), seront mis à la charge du recourant, qui succombe (art. 428 al. 1 CPP). Par ces motifs, la Chambre des recours pénale prononce : I. Le recours est irrecevable. II. Les frais d'arrêt, par 550 fr. (cinq cent cinquante francs), sont mis à la charge de S.________. III. L’arrêt est exécutoire. Le président : La greffière : Du Le présent arrêt, dont la rédaction a été approuvée à huis clos, est notifié, par l'envoi d'une copie complète, à : - M. S.________, - Ministère public central, et communiqué à : - Mme la Présidente du Tribunal de l'arrondissement de l'Est vaudois, - Mme la Procureure de l'arrondissement de l'Est vaudois, - M. […], - Mme […],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