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PE24.004354 vom 17. Juni 2024</w:t>
      </w:r>
    </w:p>
    <w:p>
      <w:r>
        <w:t>VD Tribunal cantonal, 2024-06-17, FR</w:t>
      </w:r>
    </w:p>
    <w:p>
      <w:r>
        <w:rPr>
          <w:b/>
        </w:rPr>
        <w:t xml:space="preserve">Quelle: </w:t>
      </w:r>
      <w:r>
        <w:t>https://mcp.opencaselaw.ch/entscheid/vd_gerichte_PE24.004354</w:t>
      </w:r>
    </w:p>
    <w:p>
      <w:r>
        <w:t>FR: VD_GERICHTE PE24.004354 du 17 juin 2024</w:t>
      </w:r>
    </w:p>
    <w:p>
      <w:r>
        <w:t>IT: VD_GERICHTE PE24.004354 del 17 giugno 2024</w:t>
      </w:r>
    </w:p>
    <w:p>
      <w:pPr>
        <w:pStyle w:val="Heading2"/>
      </w:pPr>
      <w:r>
        <w:t>Erwägungen</w:t>
      </w:r>
    </w:p>
    <w:p>
      <w:r>
        <w:rPr>
          <w:b/>
        </w:rPr>
        <w:t>E. 1</w:t>
      </w:r>
    </w:p>
    <w:p>
      <w:r>
        <w:t>CPP) et satisfaisant aux exigences de forme prescrites (art. 385 al. 1 CPP), le recours est recevable.</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devant l’autorité compétente par la partie plaignante qui a qualité pour recourir (art. 382 al.</w:t>
      </w:r>
    </w:p>
    <w:p>
      <w:r>
        <w:rPr>
          <w:b/>
        </w:rPr>
        <w:t>E. 2</w:t>
      </w:r>
    </w:p>
    <w:p>
      <w:r>
        <w:t>CPP ; ATF 138 IV 86 consid. 4.2 ; TF 6B_941/2021 du 9 mars 2022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6B_941/2021 précité).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w:t>
      </w:r>
    </w:p>
    <w:p>
      <w:r>
        <w:t>- 5 - il apparaît d’emblée qu’aucun acte d’enquête ne pourra apporter la preuve d’une infraction à la charge d’une personne déterminée (TF 6B_541/2017 du 20 décembre 2017 consid. 2.2).</w:t>
      </w:r>
    </w:p>
    <w:p>
      <w:r>
        <w:rPr>
          <w:b/>
        </w:rPr>
        <w:t>E. 2.1</w:t>
      </w:r>
    </w:p>
    <w:p>
      <w:r>
        <w:t>Le recourant se prévaut d'une violation du principe in dubio pro duriore et soutient que le Ministère public ne pouvait pas rendre une ordonnance de non-entrée en matière sans l'avoir auditionné sur les circonstances l'ayant conduit à remettre par avance des sommes à</w:t>
      </w:r>
    </w:p>
    <w:p>
      <w:r>
        <w:t>- 4 - A.________. Il se réfère en outre à la jurisprudence du Tribunal fédéral (ATF 147 IV 73) pour affirmer qu'on ne saurait lui opposer d'avoir payé A.________ par avance pour des prestations sexuelles et retenir qu'il n'a ainsi pas fait preuve de la prudence nécessaire.</w:t>
      </w:r>
    </w:p>
    <w:p>
      <w:r>
        <w:rPr>
          <w:b/>
        </w:rPr>
        <w:t>E. 2.2.1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w:t>
      </w:r>
    </w:p>
    <w:p>
      <w:r>
        <w:rPr>
          <w:b/>
        </w:rPr>
        <w:t>E. 2.2.2</w:t>
      </w:r>
    </w:p>
    <w:p>
      <w:r>
        <w:t>; ATF 135 IV 76 consid. 5.2). Il y a notamment manœuvre frauduleuse lorsque l'auteur fait usage de titres falsifiés ou obtenus sans droit ou de documents mensongers (ATF 128 IV 18 consid. 3a ; TF 6B_797/2023 du 29 novembre 2023 consid. 6.1 et les références citées).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précité ; ATF 143 IV 302 consid. 1.4.1 ; ATF 142 IV 153 précité ; TF 6B_1290/2022 précité).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 TF 6B_797/2023 précité consid. 6.1).</w:t>
      </w:r>
    </w:p>
    <w:p>
      <w:r>
        <w:rPr>
          <w:b/>
        </w:rPr>
        <w:t>E. 2.2.3</w:t>
      </w:r>
    </w:p>
    <w:p>
      <w:r>
        <w:t>Aux termes de l’art. 146 al. 1 CP (Code pénal suisse du 21 décembre 1937 ; RS 311.0), se rend coupable d’escroquerie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L'escroquerie consiste à tromper la dupe par des affirmations fallacieuses, par la dissimulation de faits vrais ou par un comportement qui la conforte dans son erreur. Pour qu'il y ait escroquerie, une simple</w:t>
      </w:r>
    </w:p>
    <w:p>
      <w:r>
        <w:t>- 6 - tromperie ne suffit cependant pas ; il faut encore qu'elle soit astucieuse. Il y a tromperie astucieuse, au sens de l'art. 146 al. 1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 ATF 142 IV 153 consid.</w:t>
      </w:r>
    </w:p>
    <w:p>
      <w:r>
        <w:rPr>
          <w:b/>
        </w:rPr>
        <w:t>E. 2.3</w:t>
      </w:r>
    </w:p>
    <w:p>
      <w:r>
        <w:t>En l'espèce, il est erroné de soutenir que le Ministère public ne pouvait pas rendre une ordonnance de non-entrée en matière sans</w:t>
      </w:r>
    </w:p>
    <w:p>
      <w:r>
        <w:t>- 7 - entendre les parties, dès lors que tant le Code de procédure pénale, que la jurisprudence, lui permettent précisément de procéder de la sorte et que le plaignant peut faire valoir ses arguments dans le cadre du recours. Le recourant ne saurait non plus tirer un quelconque argument de la décision du Tribunal fédéral dont il se prévaut (ATF 147 IV 73). En effet, l'affaire jugée par notre Haute Cour concernait la problématique d'un client d'une prostituée qui avait refusé de la payer une fois le rapport sexuel entretenu et dans laquelle le Tribunal fédéral a retenu que le fait que la dupe ait fourni ses services sexuels sans exiger le paiement préalable de la rémunération convenue n'induisait pas une responsabilité unique de sa part, excluant toute punissabilité de l'auteur pour le dommage causé. En l'occurrence, le recourant a rencontré A.________ à plusieurs reprises avant les faits qu'il dénonce et a eu avec elle des relations sexuelles tarifées, élément qui diffère des faits jugés ci-dessus puisque le client avait trompé une prostituée après un unique rapport. On constate que A.________ a fourni ses prestations à un nombre indéterminé de reprises depuis le début de l'année 2023 et que selon la plainte déposée le 22 février 2024, le recourant la payait habituellement le jour-même. Or, il affirme que le 6 juillet 2023, il lui a remis, à son domicile à elle à Genève, un montant pour un rendez-vous fixé le jour suivant qui a été annulé sans qu'il ne soit remboursé et que le</w:t>
      </w:r>
    </w:p>
    <w:p>
      <w:r>
        <w:rPr>
          <w:b/>
        </w:rPr>
        <w:t>E. 6</w:t>
      </w:r>
    </w:p>
    <w:p>
      <w:r>
        <w:t>décembre 2023, à son domicile à lui à Nyon, il lui a remis la somme de 1'600 fr. pour un rendez-vous prévu le 12 décembre 2023, qui a aussi été annulé. On constate que dans leurs échanges de messages du 7 décembre 2023 (P. 5/3), A.________ lui dit qu'il est trop compliqué et qu'elle lui rendra l'argent. Il découle de ces éléments que deux rendez-vous ont été payés, puis annulés sans que le recourant ne soit remboursé, mais qu'à d'autres reprises, A.________ a fourni les prestations pour lesquelles elle a été payée. Dans ces circonstances, on ne saurait retenir une volonté délibérée de tromper astucieusement le plaignant en lui réclamant de l'argent pour des services qu'elle savait ne pas pouvoir et vouloir fournir.</w:t>
      </w:r>
    </w:p>
    <w:p>
      <w:r>
        <w:t>- 8 - De plus, à l'instar du Ministère public, il y a lieu de retenir que le plaignant n'a pas fait preuve de la prudence nécessaire en remettant à A.________, à son propre domicile en décembre 2023, une avance pour une prestation future, alors même qu'elle avait déjà annulé un rendez-vous sans le rembourser et ainsi sans fournir sa contreprestation. On ne saurait non plus soutenir que les parties étaient liées par une relation de confiance particulière qui aurait incité le recourant à verser des avances à A.________ en juillet 2023, et encore moins en décembre 2023. Il s'ensuit que la condition de l'astuce n'est manifestement pas réalisée et que le litige est essentiellement de nature civile. 3. En définitive, le recours, manifestement mal fondé, doit être rejeté sans échange d’écritures (art. 390 al. 2 CPP) et l’ordonnance entreprise confirmée. Vu l’issue de la cause, les frais de la procédure de recours, constitués en l’espèce du seul émolument d’arrêt (art. 422 al. 1 CPP), par 880 fr. (art. 20 al. 1 TFIP [tarif des frais de procédure et indemnités en matière pénale du 28 septembre 2010 ; BLV 312.03.1]), seront mis à la charge du recourant qui succombe (art. 428 al. 1 CPP). L'avance de frais de 550 fr. versée par le précité à titre de sûretés sera imputée sur les frais d'arrêt mis à sa charge (art. 7 TFIP), le solde en faveur de l’Etat s’élevant ainsi à 330 francs. Par ces motifs, la Chambre des recours pénale prononce : I. Le recours est rejeté. II. L'ordonnance du 19 mars 2024 est confirmée. III. Les frais d’arrêt, par 880 fr. (huit cent huitante francs), sont mis à la charge de D.________.</w:t>
      </w:r>
    </w:p>
    <w:p>
      <w:r>
        <w:t>- 9 - IV. Le montant de 550 fr. (cinq cent cinquante francs) versé par D.________ à titre de sûretés est imputé sur les frais mis à sa charge au chiffre III ci-dessus, et le solde dû à l’Etat par celui-ci s’élève à 330 fr. (trois cent trente francs). V. L’arrêt est exécutoire. Le président : La greffière : Du Le présent arrêt, dont la rédaction a été approuvée à huis clos, est notifié, par l'envoi d'une copie complète, à : - Me Raphaël Guisan, avocat (pour D.________),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