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PE24.004338 vom 11. März 2024</w:t>
      </w:r>
    </w:p>
    <w:p>
      <w:r>
        <w:t>VD Tribunal cantonal, 2024-03-11, FR</w:t>
      </w:r>
    </w:p>
    <w:p>
      <w:r>
        <w:rPr>
          <w:b/>
        </w:rPr>
        <w:t xml:space="preserve">Quelle: </w:t>
      </w:r>
      <w:r>
        <w:t>https://mcp.opencaselaw.ch/entscheid/vd_gerichte_PE24.004338</w:t>
      </w:r>
    </w:p>
    <w:p>
      <w:r>
        <w:t>FR: VD_GERICHTE PE24.004338 du 11 mars 2024</w:t>
      </w:r>
    </w:p>
    <w:p>
      <w:r>
        <w:t>IT: VD_GERICHTE PE24.004338 del 11 marzo 2024</w:t>
      </w:r>
    </w:p>
    <w:p>
      <w:pPr>
        <w:pStyle w:val="Heading2"/>
      </w:pPr>
      <w:r>
        <w:t>Erwägungen</w:t>
      </w:r>
    </w:p>
    <w:p>
      <w:r>
        <w:rPr>
          <w:b/>
        </w:rPr>
        <w:t>E. 1.1</w:t>
      </w:r>
    </w:p>
    <w:p>
      <w:r>
        <w:t>Aux termes de l’art. 393 al. 1 let. c CPP (Code de procédure pénale suisse du 5 octobre 2007 ; RS 312.0), le recours est recevable contre les décisions du TMC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w:t>
      </w:r>
    </w:p>
    <w:p>
      <w:r>
        <w:t>- 4 -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preuves qu’elle invoque (let. c). La jurisprudence et la doctrine en ont déduit que, sous peine d’irrecevabilité, cela suppose que le recourant expose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1B_318/2021 du 25 janvier 2022 consid. 4.1 et les références citées ; TF 6B_510/2020 du 15 septembre 2020 consid. 2.2 ; TF 1B_472/2019 du 29 octobre 2019 consid. 3.1 ; TF 6B_120/2016 du 20 juin 2016 consid. 3.1 ; Keller, in : Donatsch/Lieber/Summers/Wohlers [éd.], Zürcher Kommentar, Kommentar zur Schweizerischen Strafprozessordnung, 3e éd. 2020, n. 14 ad art. 396 StPO et les références citées ; Calame, in : Jeanneret/Kuhn/ Perrier Depeursinge [éd.], Code de procédure pénale suisse, Commentaire romand, 2e éd. 2019, n. 21 ad art. 385 CPP ; CREP 7 octobre 2022/740 consid. 1.2.1 ; CREP 19 août 2022/640). L’art. 385 al. 2 CPP prévoit que si le mémoire ne satisfait pas aux exigences mentionnées à l’al. 1, l’autorité de recours le renvoie au</w:t>
      </w:r>
    </w:p>
    <w:p>
      <w:r>
        <w:t>- 5 - recourant pour qu’il le complète dans un bref délai. Cette disposition vise uniquement à protéger le justiciable contre un formalisme excessif de la part de l’autorité. Elle ne permet en revanche pas de suppléer un défaut de motivation. Il est en effet communément admis en procédure que la motivation d’un acte de recours doit être entièrement contenue dans l’acte de recours lui-même.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6B_609/2021 du 19 juillet 2021 consid. 2.4 ; TF 6B_510/2020 du 15 septembre 2020 consid. 2.2 ; CREP 7 octobre 2022/740 consid. 1.2.2 ; CREP 17 août 2022/617).</w:t>
      </w:r>
    </w:p>
    <w:p>
      <w:r>
        <w:rPr>
          <w:b/>
        </w:rPr>
        <w:t>E. 1.3</w:t>
      </w:r>
    </w:p>
    <w:p>
      <w:r>
        <w:t>En l’espèce, le détenu, qui a qualité pour recourir (art. 222 et 382 al. 1 CPP), a interjeté recours dans le délai légal. En revanche, dans ses deux écritures il invoque uniquement sa situation familiale pour justifier sa mise en liberté. Il ne discute pas la motivation de sa détention et, en ce sens, son recours paraît irrecevable faute de motivation suffisante. La question peut néanmoins être laissée ouverte, puisque même à le considérer recevable, le recours devrait être rejeté pour les motifs qui suivent.</w:t>
      </w:r>
    </w:p>
    <w:p>
      <w:r>
        <w:rPr>
          <w:b/>
        </w:rPr>
        <w:t>E. 2.1</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qu’il compromette sérieusement et de manière imminente la sécurité d’autrui en commettant des crimes ou des délits graves après avoir déjà commis</w:t>
      </w:r>
    </w:p>
    <w:p>
      <w:r>
        <w:t>- 6 - des infractions du même genre (let. c ; modifiée au 1er janvier 2024 [RO 2023 p. 468, FF 2019 pp. 6351 ss]).</w:t>
      </w:r>
    </w:p>
    <w:p>
      <w:r>
        <w:rPr>
          <w:b/>
        </w:rPr>
        <w:t>E. 2.2</w:t>
      </w:r>
    </w:p>
    <w:p>
      <w:r>
        <w:t>Le recourant ne conteste pas, à juste titre, l’existence de soupçons suffisants de commission d’un crime ou d’un délit. Dans ses déterminations du 25 février 2024, il admet à tout le moins partiellement les faits et offre des excuses. Cette condition est dès lors réalisée. Le recourant ne conteste pas non plus l’existence des risques de fuite et de collusion en tant que tels. Il ressort du dossier qu’il n’a aucune attache en Suisse. Par ailleurs, il déclare lui-même vouloir retourner en France pour s’occuper de sa famille. Partant, le risque de fuite est avéré. Il en est de même du risque de collusion, l’enquête n’en étant qu’à ses débuts et plusieurs personnes semblant impliquées dans les faits reprochés. Au demeurant, aucune mesure de substitution ne serait en mesure de pallier les risques identifiés ci-dessus (art. 36 al. 3 Cst. [Constitution fédérale de la Confédération suisse du 18 avril 1999 ; RS 101] ; art. 237 al. 1 CPP). Le recourant n’en propose d’ailleurs aucune.</w:t>
      </w:r>
    </w:p>
    <w:p>
      <w:r>
        <w:rPr>
          <w:b/>
        </w:rPr>
        <w:t>E. 3.1</w:t>
      </w:r>
    </w:p>
    <w:p>
      <w:r>
        <w:t>Le recourant estime en revanche que la durée de la détention prononcée, à savoir trois mois, est excessive. Il indique devoir retourner aux côtés de sa compagne, qui a besoin de lui pour s’occuper de leurs deux enfants, dont l’un souffrirait notamment de convulsions.</w:t>
      </w:r>
    </w:p>
    <w:p>
      <w:r>
        <w:rPr>
          <w:b/>
        </w:rPr>
        <w:t>E. 3.2</w:t>
      </w:r>
    </w:p>
    <w:p>
      <w:r>
        <w:t>Selon l’art. 212 al. 3 CPP, la détention provisoire ou pour des motifs de sûreté ne doit pas durer plus longtemps que la peine privative de liberté prévisible. La proportionnalité de la détention provisoire doit être examinée au regard de l’ensemble des circonstances concrètes du cas d’espèce (ATF 139 IV 270 consid. 3.1 ; ATF 133 I 168 consid. 4.1 et la jurisprudence citée). Le juge peut dès lors maintenir la détention provisoire aussi longtemps qu'elle n'est pas très proche de la durée de la peine privative de liberté à laquelle il faut s'attendre concrètement en cas</w:t>
      </w:r>
    </w:p>
    <w:p>
      <w:r>
        <w:t>- 7 - de condamnation (ATF 145 IV 179 consid. 3.1 ; ATF 143 IV 168 consid. 5.1 ; ATF 139 IV 270 précité).</w:t>
      </w:r>
    </w:p>
    <w:p>
      <w:r>
        <w:rPr>
          <w:b/>
        </w:rPr>
        <w:t>E. 3.3</w:t>
      </w:r>
    </w:p>
    <w:p>
      <w:r>
        <w:t>En l’espèce, les motifs invoqués par le recourant ne sont pas pertinents. Dès lors que les conditions posées par l’art. 221 al. 1 CPP sont remplies et que la détention provisoire est justifiée, le fait qu’il ne puisse pas être auprès de sa famille ne saurait justifier une libération de la détention. Compte tenu de la gravité des faits reprochés et de la peine qui pourrait être prononcée à son encontre, une mise en détention provisoire pour une durée de trois mois apparaît proportionnée.</w:t>
      </w:r>
    </w:p>
    <w:p>
      <w:r>
        <w:rPr>
          <w:b/>
        </w:rPr>
        <w:t>E. 4</w:t>
      </w:r>
    </w:p>
    <w:p>
      <w:r>
        <w:t>En définitive, le recours, manifestement mal fondé, doit être rejeté dans la mesure où il est recevable, sans échange d’écritures (art. 390 al. 2 CPP), et l’ordonnance entreprise confirmée. Vu le sort du recours, les frais de la procédure, constitués en l’espèce du seul émolument d'arrêt, par 770 fr. (art. 20 al. 1 TFIP), seront mis à la charge du recourant, qui succombe (art. 428 al. 1 CPP). Par ces motifs, la Chambre des recours pénale prononce : I. Le recours est rejeté dans la mesure où il est recevable. II. L’ordonnance du 26 février 2024 est confirmée. III. Les frais d’arrêt, par 770 fr. (sept cent septante francs), sont mis à la charge de X.________. IV. L’arrêt est exécutoire. Le président : La greffière :</w:t>
      </w:r>
    </w:p>
    <w:p>
      <w:r>
        <w:t>- 8 - Du Le présent arrêt, dont la rédaction a été approuvée à huis clos, est notifié, par l'envoi d'une copie complète, à : - M. X.________, - Me Alexandre Reymond, avocat (pour X.________), - Ministère public central, et communiqué à : - Mme la Présidente du Tribunal des mesures de contrainte, - M. le Procureur du Ministère public cantonal STRADA,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