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PE24.004327 vom 30. Dezember 2025</w:t>
      </w:r>
    </w:p>
    <w:p>
      <w:r>
        <w:t>VD Tribunal cantonal, 2025-12-30, FR</w:t>
      </w:r>
    </w:p>
    <w:p>
      <w:r>
        <w:rPr>
          <w:b/>
        </w:rPr>
        <w:t xml:space="preserve">Quelle: </w:t>
      </w:r>
      <w:r>
        <w:t>https://mcp.opencaselaw.ch/entscheid/vd_gerichte_PE24.004327</w:t>
      </w:r>
    </w:p>
    <w:p>
      <w:r>
        <w:t>FR: VD_GERICHTE PE24.004327 du 30 décembre 2025</w:t>
      </w:r>
    </w:p>
    <w:p>
      <w:r>
        <w:t>IT: VD_GERICHTE PE24.004327 del 30 dicembre 2025</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w:t>
      </w:r>
    </w:p>
    <w:p>
      <w:r>
        <w:t>- 4 - 396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une partie plaignante qui a qualité pour recourir (art. 382 al. 1 CPP) et dans les formes prescrites (art. 385 al. 1 CPP), le recours est recevable.</w:t>
      </w:r>
    </w:p>
    <w:p>
      <w:r>
        <w:rPr>
          <w:b/>
        </w:rPr>
        <w:t>E. 2.1</w:t>
      </w:r>
    </w:p>
    <w:p>
      <w:r>
        <w:t>La recourante se prévaut d’une violation de l’art. 310 al. 1 let. a CPP en lien avec les art. 173, 174 voire 177 CP (Code pénal suisse du 21 décembre 1937 ; RS 311.0) et soutient que c’est à tort que le Ministère public a considéré que les faits dénoncés n’étaient pas constitutifs d’une infraction, respectivement que les conditions à l’ouverture d’une action pénale n’étaient manifestement pas réunies. Ce faisant, cette autorité aurait abusé de son pouvoir d’appréciation et rendu une ordonnance inopportune. La recourante passe en particulier en revue, respectivement met en évidence, certains commentaires apposés par B.________ en pages 4, 17, 23, 24, 29, 48 et 49 du rapport d’expertise. Elle conteste la façon dont elle y est décrite par son ex-époux, dont elle souligne l’attitude procédurière et oppositionnelle depuis leur séparation en 2015, et soutient que celui-ci ne saurait être autorisé à déclarer faussement, sans la moindre preuve, qu’elle le « vole[rait] de plusieurs dizaines de milliers de francs, qu’elle aurait vidé les comptes et laissé M. B.________ démuni, qu’elle cherche[rait] à le priver de ses enfants, qu’elle souffrirait de folie, qu’elle l’aurait renversé devant les enfants avec sa voiture [et] qu’elle détournerait et volerait son courrier en plus de violer son domicile ». Ces propos démontreraient que B.________ a l’intention de nuire à la réputation de la recourante pour justifier ses propres actes, déclarations qui la</w:t>
      </w:r>
    </w:p>
    <w:p>
      <w:r>
        <w:t>- 5 - laisseraient au demeurant apparaître comme une personne méprisable et même dangereuse, étant relevé que rien ne permettrait d’exclure que de tels propos aient été présentés à d’autres personnes que des professionnels du droit. La recourante fait encore valoir qu’aucun argument quant au sort de sa plainte pénale ne saurait être tiré de celui qui a été réservé à celle déposée par B.________, notamment contre la DGEJ, en 2021.</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t>- 6 -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2.2.2.1</w:t>
      </w:r>
    </w:p>
    <w:p>
      <w:r>
        <w:t>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w:t>
      </w:r>
    </w:p>
    <w:p>
      <w:r>
        <w:t>- 7 - ait néanmoins proférés ; il n'est pas nécessaire qu'il ait eu la volonté de blesser la personne visée (ATF 137 IV 313 consid. 2.1.6 ; TF 6B_767/2023 du 29 novembre 2023 consid. 4.1.1 ; TF 6B_479/2022 du 9 février 2023 consid. 5.1.1).</w:t>
      </w:r>
    </w:p>
    <w:p>
      <w:r>
        <w:rPr>
          <w:b/>
        </w:rPr>
        <w:t>E. 2.2.2.2</w:t>
      </w:r>
    </w:p>
    <w:p>
      <w:r>
        <w:t>L'art.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w:t>
      </w:r>
    </w:p>
    <w:p>
      <w:r>
        <w:t>- 8 - mars 2021 consid. 4.1).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du 25 septembre 2023 ; TF 6B_1100/2016 du 25 octobre 2017 consid. 1.2 ; TF 6B_1225/2014 du 18 janvier 2016 consid. 1.2 et les références citées).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6B_450/2024 du 8 août 2024 consid. 1.1.4 et les références citées ; TF 6B_1461/2021 du 29 août 2022 consid. 2.1.2).</w:t>
      </w:r>
    </w:p>
    <w:p>
      <w:r>
        <w:rPr>
          <w:b/>
        </w:rPr>
        <w:t>E. 2.2.3</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w:t>
      </w:r>
    </w:p>
    <w:p>
      <w:r>
        <w:t>- 9 -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du 31 août 2020 consid. 2.2.2 ; TF 6B_541/2019 du 15 juillet 2019 consid. 2.2 et les références citées).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w:t>
      </w:r>
    </w:p>
    <w:p>
      <w:r>
        <w:rPr>
          <w:b/>
        </w:rPr>
        <w:t>E. 2.2.4</w:t>
      </w:r>
    </w:p>
    <w:p>
      <w:r>
        <w:t>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w:t>
      </w:r>
    </w:p>
    <w:p>
      <w:r>
        <w:t>- 10 -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6B_1040/2022 précité consid. 3.1.1 ; TF 6B_1254/2019 précité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w:t>
      </w:r>
    </w:p>
    <w:p>
      <w:r>
        <w:rPr>
          <w:b/>
        </w:rPr>
        <w:t>E. 2.3</w:t>
      </w:r>
    </w:p>
    <w:p>
      <w:r>
        <w:t>En l’espèce, s’il est vrai qu’une partie des commentaires rédigés par B.________ au sujet de la recourante ne sont pas constitutifs d’une infraction pénale, certaines des assertions formulées sont de nature à être attentatoires à l’honneur de la recourante, puisqu’elles évoquent des comportements pénalement répréhensibles. On relèvera notamment les remarques suivantes, apposées par B.________ alors que les expertes relèvent qu’il n’est pas de leur responsabilité de faire des propositions utiles relatives aux modalités d’exercice des relations personnelles des parents sur leurs enfants, soulignant néanmoins que les moments de transition étaient vécus comme « compliquées » (sic) par la recourante, qui exprimait sa « peur » (P. 4/3, p. 49, § 4) : « Oui, il est vrai que Mme E.________ est la seule à souffrir de sa folie. B.________ aussi en a marre qu’elle se cache dans les buissons, qu’elle fasse le cirque devant chez lui. […] PEUR ? mais peur de quoi ? C’est Mme E.________ qui a gifler M. B.________ et sa Maman. C’est Mme E.________ qui a volé financièrement M. B.________ de plusieurs dizaine de milliers de Francs, c’est Mme E.________ qui a renverser M. B.________ avec sa voiture devant les enfants. C’est Mme E.________ qui a pénétré le logement de M. B.________</w:t>
      </w:r>
    </w:p>
    <w:p>
      <w:r>
        <w:t>- 11 - en passant par une fenêtre, c’est Mme E.________ qui a détourné et voler les courriers de M. B.________. C’est Mme E.________ qui a mis M. B.________ aux poursuites pour des "dettes" qui ne lui appartenaient pas, avec une division du montant pour multiplier les procédures. C’est Mme E.________ qui a pénétré de force dans le véhicule de M. B.________. Et c’est Mme E.________ qui essaie d’interdire au maximum à M. B.________ de voir ses enfants. De quoi à peur Mme E.________ ? de prendre une réponse de la justice qui la place devant les crimes qu’elle a commis, peut-être. Mais M. B.________ n’a jamais mis Mme E.________ en danger. Ce qui n’est pas le cas dans le sens contraire » (sic). Par ailleurs, l’écrit litigieux a été transmis par B.________ à son avocate, qui l’a elle-même communiqué au Tribunal civil de l’arrondissement de Lausanne. Si ce sont certes des professionnels du droit, il s’agit tout de même de tiers au sens de la loi (cf. Dupuis et al. [éd.], Petit commentaire, Code pénal, 2e éd., Bâle 2017, n. 18 ad art. 173 CP). Enfin, on rappellera que le simple fait que les commentaires litigieux aient été formulés dans le cadre d’une procédure judiciaire manifestement très conflictuelle ne suffit pas, en tant que tel, à fonder l’existence d’un fait justificatif au sens de l’art. 14 CP comme semble implicitement le considérer le Ministère public. Encore faut-il que la partie se soit bornée à exposer de bonne foi les éléments qu’elle pensait utiles à la protection de ses intérêts, en se limitant aux déclarations nécessaires et pertinentes (cf. TF 6B_632/2022 du 6 mars 2023 consid. 2.5.1 et 2.5.2), question qu’il appartiendra au Ministère public de résoudre et qui peut donc souffrir de demeurer indécise en l’état. Compte tenu des éléments qui précèdent, le Ministère public ne pouvait d’emblée écarter la réalisation d’une infraction contre l’honneur sans ouvrir une instruction pénale et procéder à toute mesure d’instruction utile, notamment à l’audition de B.________. Les griefs de la recourante sont donc fondés.</w:t>
      </w:r>
    </w:p>
    <w:p>
      <w:r>
        <w:t>- 12 -</w:t>
      </w:r>
    </w:p>
    <w:p>
      <w:r>
        <w:rPr>
          <w:b/>
        </w:rPr>
        <w:t>E. 3</w:t>
      </w:r>
    </w:p>
    <w:p>
      <w:r>
        <w:t>En définitive, le recours doit être admis, l’ordonnance entreprise annulée et le dossier de la cause renvoyé au Ministère public de l’arrondissement de Lausanne pour qu’il procède dans le sens des considérants qui précèdent. La recourante a sollicité d’être mise au bénéfice de l’assistance judiciaire pour la procédure de recours (cf. art. 136 al. 3 CPP). Les conditions posées par l’art. 136 al. 1 let. a CPP étant réunies, il convient d’admettre cette requête et de désigner Me Antoine Golano, qui est déjà consulté, en qualité de conseil juridique gratuit d’E.________ pour la procédure de recours. Compte tenu de la nature de l’affaire et de l’acte de recours déposé, l’indemnité allouée à Me Antoine Golano doit être fixée à 540 fr., correspondant à une activité nécessaire d'avocat breveté de 3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20, et la TVA au taux de 8,1 % sur le tout, par 44 fr. 60, soit à 596 fr. au total en chiffres arrondis. Vu l’admission du recours, les frais de la procédure, constitués en l’espèce de l’émolument d’arrêt, par 1’320 fr. (art. 20 al. 1 TFIP), et des frais imputables à l’assistance judiciaire gratuite, par 596 fr., seront laissés à la charge de l’Etat (art. 428 al. 4 CPP).</w:t>
      </w:r>
    </w:p>
    <w:p>
      <w:r>
        <w:t>- 13 - Par ces motifs, la Chambre des recours pénale prononce : I. Le recours est admis. II. L’ordonnance du 7 mai 2025 est annulée. III. Le dossier de la cause est renvoyé au Ministère public de l’arrondissement de Lausanne pour qu’il procède dans le sens des considérants. IV. La requête d’assistance judiciaire est admise et Me Antoine Golano est désigné en qualité de conseil juridique gratuit d’E.________ pour la procédure de recours. V. L’indemnité allouée à Me Antoine Golano est fixée à 596 fr. (cinq cent nonante-six francs). VI. Les frais d’arrêt, par 1'320 fr. (mille trois cent vingt francs), ainsi que l’indemnité allouée au conseil juridique gratuit, par 596 fr. (cinq cent nonante-six francs), sont laissés à la charge de l’Etat. VII. L’arrêt est exécutoire. Le président : La greffière : Du Le présent arrêt, dont la rédaction a été approuvée à huis clos, est notifié, par l'envoi d'une copie complète, à : - Me Antoine Golano, avocat (pour E.________), - Ministère public central, et communiqué à : - Mme la Procureure de l’arrondissement de Lausanne,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