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PE24.004047 vom 27. Januar 2026</w:t>
      </w:r>
    </w:p>
    <w:p>
      <w:r>
        <w:t>VD Tribunal cantonal, 2026-01-27, FR</w:t>
      </w:r>
    </w:p>
    <w:p>
      <w:r>
        <w:rPr>
          <w:b/>
        </w:rPr>
        <w:t xml:space="preserve">Quelle: </w:t>
      </w:r>
      <w:r>
        <w:t>https://mcp.opencaselaw.ch/entscheid/vd_gerichte_PE24.004047</w:t>
      </w:r>
    </w:p>
    <w:p>
      <w:r>
        <w:t>FR: VD_GERICHTE PE24.004047 du 27 janvier 2026</w:t>
      </w:r>
    </w:p>
    <w:p>
      <w:r>
        <w:t>IT: VD_GERICHTE PE24.004047 del 27 gennaio 2026</w:t>
      </w:r>
    </w:p>
    <w:p>
      <w:pPr>
        <w:pStyle w:val="Heading2"/>
      </w:pPr>
      <w:r>
        <w:t>Erwägungen</w:t>
      </w:r>
    </w:p>
    <w:p>
      <w:r>
        <w:rPr>
          <w:b/>
        </w:rPr>
        <w:t>E. 1</w:t>
      </w:r>
    </w:p>
    <w:p>
      <w:r>
        <w:t>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B.________ est recevable. 13J010</w:t>
      </w:r>
    </w:p>
    <w:p>
      <w:r>
        <w:t>- 12 -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conteste sa condamnation pour escroquerie, faux dans les titres et faux dans les certificats en lien avec les faits décrits au chiffre 1 de l’acte d’accusation. Il soutient que le plaignant D.________, dont il était très proche, était d’accord de se porter garant pour son appartement. Il n’aurait pas voulu imiter la signature de ce dernier et la gérance aurait pu et dû se rendre compte de son erreur. Par ailleurs, D.________ aurait été convoqué à une audience de conciliation en octobre 2019 et n’aurait finalement réagi que quatre ans plus tard. Enfin, il serait possible de signer au nom et pour le compte d’une personne avec son accord. Il n’y aurait ainsi ni astuce, ni titre faux, ni faux certificat.</w:t>
      </w:r>
    </w:p>
    <w:p>
      <w:r>
        <w:rPr>
          <w:b/>
        </w:rPr>
        <w:t>E. 3.2.1</w:t>
      </w:r>
    </w:p>
    <w:p>
      <w:r>
        <w:t>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13J010</w:t>
      </w:r>
    </w:p>
    <w:p>
      <w:r>
        <w:t>- 13 -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3.2.2</w:t>
      </w:r>
    </w:p>
    <w:p>
      <w:r>
        <w:t>Aux termes de l'art. 146 al. 1 CP (Code pénal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13J010</w:t>
      </w:r>
    </w:p>
    <w:p>
      <w:r>
        <w:t>- 14 -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6B_1290/2022 du 7 juillet 2023 consid. 1.4.1).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La tromperie astucieuse doit amener la dupe, dans l'erreur, à accomplir un acte préjudiciable à ses intérêts pécuniaires ou à ceux d'un tiers. Il doit ainsi exister un lien de causalité ou de motivation entre l'acte de disposition de la dupe et l'erreur, créée ou confortée par la tromperie. L'acte de disposition est constitué par tout acte ou omission qui entraîne directement un préjudice. L'exigence d'une telle immédiateté résulte de la définition même de l'escroquerie, qui implique notamment que le dommage soit causé par un acte de disposition du lésé lui-même (ATF 126 IV 113 consid. 3a).</w:t>
      </w:r>
    </w:p>
    <w:p>
      <w:r>
        <w:rPr>
          <w:b/>
        </w:rPr>
        <w:t>E. 3.2.3</w:t>
      </w:r>
    </w:p>
    <w:p>
      <w:r>
        <w:t>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13J010</w:t>
      </w:r>
    </w:p>
    <w:p>
      <w:r>
        <w:t>- 15 - 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p. 268). Il est sans importance de savoir si le contenu d'un tel titre est mensonger ou non (ATF 123 IV 17 consid. 2e p. 21). Le faux dans les titres est une infraction intentionnelle. Le dol éventuel suffit. L'art. 251 CP exige en outre un dessein spécial, qui peut se présenter sous deux formes alternatives, à savoir le dessein de nuire ou le dessein d'obtenir un avantage illicite.</w:t>
      </w:r>
    </w:p>
    <w:p>
      <w:r>
        <w:rPr>
          <w:b/>
        </w:rPr>
        <w:t>E. 3.2.4</w:t>
      </w:r>
    </w:p>
    <w:p>
      <w:r>
        <w:t>Aux termes de l'art. 252 CP sanctionnant le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rPr>
          <w:b/>
        </w:rPr>
        <w:t>E. 3.3</w:t>
      </w:r>
    </w:p>
    <w:p>
      <w:r>
        <w:t>S'agissant des faits, l'appelant a admis aux débats de première instance, après l'avoir nié en début d'enquête (PV aud. 2, R. 9), qu'il avait lui-même apposé le nom du plaignant sur le contrat de bail, puisque celui- ci était d'accord de se porter garant et lui avait transmis une copie de sa carte d'identité, ses trois dernières fiches de salaire ainsi qu'un extrait des poursuites. En définitive, les faits ne sont contestés qu’en tant que l’appelant ne reconnaît pas avoir eu la volonté de tromper, respectivement de commettre un faux, en imitant la signature de D.________.</w:t>
      </w:r>
    </w:p>
    <w:p>
      <w:r>
        <w:rPr>
          <w:b/>
        </w:rPr>
        <w:t>E. 3.4.1</w:t>
      </w:r>
    </w:p>
    <w:p>
      <w:r>
        <w:t>Cela étant, le prévenu s'est présenté auprès de la gérance CN.________ comme étant le plaignant D.________, dont il a fait inscrire le nom sur le contrat de bail – en tant que locataire et non garant –, soit un 13J010</w:t>
      </w:r>
    </w:p>
    <w:p>
      <w:r>
        <w:t>- 16 - locataire solvable, alors que lui-même ne l'était pas. Pour obtenir la conclusion du contrat de bail, il a produit une copie de la carte d'identité, les trois dernières fiches de salaire et un extrait de poursuites de D.________, et a signé le contrat de bail en faisant usage de ce dernier nom. Il a ainsi trompé son bailleur, en se faisant passer pour un locataire solvable, et obtenir la jouissance d'un appartement auquel il n'aurait pas pu prétendre au vu de sa situation financière. Il a également trompé D.________, qui était uniquement d'accord de se porter garant. Au vu du dossier fourni par l'appelant, incluant divers documents ainsi que de l'usage d'une fausse signature, on ne peut reprocher à la gérance de ne pas avoir effectué de plus amples vérifications, puisque l'identité du signataire du bail correspondait précisément aux pièces (carte d'identité, fiches de salaire, extrait de poursuites) qui lui avaient été fournies. La tromperie n’était donc pas reconnaissable et on ne voit d'ailleurs pas quelles autres vérifications la gérance aurait pu faire. C’est en vain que l’appelant soutient avoir signé « comme en p. o. » puisque cette mention ne figure aucunement sur le contrat de bail, qui comporte à plusieurs reprises la signature « D.________ » et ses initiales sur chaque page. L’appelant ne peut pas non plus soutenir qu’il ne s’agissait que d’apposer le nom du plaignant sans autre volonté de tromper, puisqu’il ne s’est pas contenté de reproduire des lettres mais a imité – ou créé – une signature en se servant d’un trait de soulignement partant de la dernière lettre, à trois reprises (cf. P. 6). Cette tromperie astucieuse a causé un dommage au bailleur, qui a été confronté à des défauts de paiement, ainsi qu'à D.________, qui a été poursuivi et saisi sur la base d'un contrat de bail qu'il n'avait jamais vu, ni signé. C’est en vain également que l’appelant soutient que D.________ aurait été au courant de la situation bien avant 2023, l’escroquerie commise au préjudice de la gérance devant de toute manière être retenue. L’appelant ne peut pas non plus prétendre qu’il n’y aurait pas eu de tromperie – ni de faux – dans le fait d’avoir signé pour DB.________ dès lors que celui-ci était d’accord de se porter garant. En effet, D.________ avait donné son accord pour être garant et non locataire. En définitive, il ne fait donc aucun doute que l’appelant a délibérément usurpé l’identité du plaignant afin d’obtenir un avantage. 13J010</w:t>
      </w:r>
    </w:p>
    <w:p>
      <w:r>
        <w:t>- 17 - La condamnation de B.________ pour escroquerie doit donc être confirmée.</w:t>
      </w:r>
    </w:p>
    <w:p>
      <w:r>
        <w:rPr>
          <w:b/>
        </w:rPr>
        <w:t>E. 3.4.2</w:t>
      </w:r>
    </w:p>
    <w:p>
      <w:r>
        <w:t>Sa condamnation pour faux dans les titres et dans les certificats doit également être confirmée. En effet, il a réalisé un faux matériel en imitant la signature de D.________ sur le contrat de bail, ce dernier devenant ainsi locataire de l'appartement en question. Il a également employé la carte d'identité de D.________ pour tromper la gérance sur son identité. Or, l’appelant ne peut pas se prévaloir de l’accord du plaignant, qui portait sur autre chose. On peut au demeurant relever que l’appelant a été condamné en novembre 2015 pour utilisation de plaques de contrôle falsifiées, ce qui démontre qu’il est peu scrupuleux en matière de falsification.</w:t>
      </w:r>
    </w:p>
    <w:p>
      <w:r>
        <w:rPr>
          <w:b/>
        </w:rPr>
        <w:t>E. 4</w:t>
      </w:r>
    </w:p>
    <w:p>
      <w:r>
        <w:t>L'appelant conteste ensuite sa condamnation pour blanchiment d'argent en lien avec les faits décrits au chiffre 2 de l'acte d'accusation. Il fait valoir qu’il aurait voulu aider une collègue de travail qui avait un problème avec son compte Twint, qu'elle lui aurait demandé s'il pouvait encaisser de l'argent sur son propre compte Twint, pour ensuite le retirer et le lui donner, que cela est arrivé en une nuit et une matinée, qu'il avait constaté que l'argent rentrait par M.________, à hauteur de 3'000 fr. voire plus et qu'il avait remis environ 2'000 fr. à sa collègue de travail. Plus tard, des gens avaient commencé à lui écrire et ce serait seulement à ce moment qu’il aurait eu des doutes. Il aurait alors remboursé ce qu’il pouvait et aurait collaboré en donnant les coordonnées de DD.________. Selon l’appelant, ce serait vers cette dernière – qui aurait admis qu’elle l’avait entraîné dans cette situation – que les parties plaignantes auraient dû se retourner. Lui ne serait coupable que d’avoir été négligent. Enfin, compte tenu des faibles montants en cause, l’infraction de blanchiment d’argent, qui suppose que l’origine des fonds soit un crime, ne serait pas applicable.</w:t>
      </w:r>
    </w:p>
    <w:p>
      <w:r>
        <w:rPr>
          <w:b/>
        </w:rPr>
        <w:t>E. 4.1</w:t>
      </w:r>
    </w:p>
    <w:p>
      <w:r>
        <w:t>Selon l'art. 305bis ch. 1 CP,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 13J010</w:t>
      </w:r>
    </w:p>
    <w:p>
      <w:r>
        <w:t>- 18 - Les valeurs patrimoniales blanchies doivent provenir d'un crime au sens de l'art. 10 al. 2 CP,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(ATF 138 IV 1 consid. 4.2.2 ; ATF 120 IV 323 consid. 3d ; TF 6B_295/2022 du 15 septembre 2022 consid. 1.2).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149 IV 248 consid. 6.3 ; ATF 144 IV 172 consid. 7.2.2). L'acte d'entrave peut être constitué par n'importe quel comportement propre à faire obstacle à l'identification de l'origine, la découverte ou la confiscation de la valeur patrimoniale provenant d'un crime (ATF 136 IV 188 consid. 6.1 et les références citées). Entre par exemple en ligne de compte comme acte d'entrave le fait de transférer l'argent d'un compte bancaire à un autre à l'étranger (cf. ATF 145 IV 335 consid. 3.1 ; ATF 144 IV 172 consid. 7.2.2 ; ATF 127 IV 20 consid. 3b). L'infraction de blanchiment d'argent est intentionnelle, le dol éventuel étant suffisant (ATF 149 IV 248 consid. 6.3).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 à cet égard, il suffit qu'il ait connaissance de circonstances faisant naître le soupçon pressant de faits constituant légalement un crime et qu'il s'accommode de l'éventualité que ces faits se soient produits (ATF 149 IV 13J010</w:t>
      </w:r>
    </w:p>
    <w:p>
      <w:r>
        <w:t>- 19 - 248 consid. 6.3 ; ATF 122 IV 211 consid. 2e ; ATF 119 IV 242 consid. 2b ; TF 6B_295/2022 du 15 septembre 2022 consid. 1.2).</w:t>
      </w:r>
    </w:p>
    <w:p>
      <w:r>
        <w:rPr>
          <w:b/>
        </w:rPr>
        <w:t>E. 4.2</w:t>
      </w:r>
    </w:p>
    <w:p>
      <w:r>
        <w:t>Entre les 7 et 8 septembre 2022, l'appelant a reçu, par l’intermédiaire de l’application M.________, divers versements d'expéditeurs inconnus, ces derniers croyant alors acquérir de la marchandise sur des plateformes de vente en ligne, marchandise qui ne leur a jamais été livrée. Il a ainsi reçu 14 versements pour un montant total de 3'995 francs. Il a remboursé deux versements pour un total de 700 fr., a remis 400 fr. à sa collègue DD.________ et a retiré le solde, dont il a fait un usage indéterminé. En recevant autant de versements sur son compte, sur une très courte durée, avec l'indication, à 10 reprises, de marchandises déterminées, l'appelant ne pouvait que se douter que l'argent en question provenait d'escroqueries. Or, en constatant ces multiples versements ainsi que l'intitulé de ceux-ci, il n'a pas conservé ces montants pour pouvoir potentiellement les restituer aux ayants-droits, mais en a retiré une grande partie en liquide et a remis à tout le moins 400 fr. à sa collègue DD.________. Les griefs de l’appelant sont vains. Le fait qu’il ait éventuellement voulu rendre service à une collègue ne devait pas l’empêcher d’avoir des doutes quant à la provenance de l’argent, eu égard au contenu des messages qui accompagnaient les versements. Quoi qu’en dise l’appelant, il aurait dû éprouver des doutes dès la réception des montants et non pas seulement dès qu’il a reçu des messages d’acheteurs mécontents. En outre, il aurait dû conserver cet argent plutôt que de le retirer et de l’utiliser à des fins inconnues, et de se contenter de rembourser seuls les plaignants qui en avaient fait la demande. Dans ces conditions, il s’est accommodé de l’éventualité que l’argent qu’il avait ainsi reçu provenait d’escroqueries, infraction punissable d’une peine privative de liberté de 5 ans – soit un crime –, et a ainsi commis un acte d’entrave au sens de l’art. 305bis ch. 1 CP. Le fait qu’il ait collaboré en donnant le nom de DD.________ ou que ce soit cette dernière qui l’ait mis en relation avec les escrocs n’y change rien. 13J010</w:t>
      </w:r>
    </w:p>
    <w:p>
      <w:r>
        <w:t>- 20 - Partant, la condamnation de B.________ pour blanchiment d’argent doit être confirmée.</w:t>
      </w:r>
    </w:p>
    <w:p>
      <w:r>
        <w:rPr>
          <w:b/>
        </w:rPr>
        <w:t>E. 5</w:t>
      </w:r>
    </w:p>
    <w:p>
      <w:r>
        <w:t>L'appelant conteste sa condamnation pour violation d'une obligation d'entretien. Il n’aurait pas participé au jugement ayant fixé la contribution d’entretien due à sa fille, qui ne tiendrait pas compte de ce qu’il devrait déjà payer pour ses deux premiers enfants, et il n’aurait quoi qu’il en soit pas eu les moyens de payer quoi que ce soit.</w:t>
      </w:r>
    </w:p>
    <w:p>
      <w:r>
        <w:rPr>
          <w:b/>
        </w:rPr>
        <w:t>E. 5.1</w:t>
      </w:r>
    </w:p>
    <w:p>
      <w:r>
        <w:t>Aux termes de l’art. 217 al. 1 CP, quiconque ne fournit pas les aliments ou les subsides qu’il doit en vertu du droit de la famille, quoiqu’il en ait les moyens ou puisse les avoir, est,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6B_679/2022 du 30 mars 2023 consid. 2.3 ; TF 6B_1180/2020 du 10 juin 2021 consid. 3.2 ; TF 6B_540/2020 du 22 octobre 2020 consid. 2.3). Par 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6B_679/2022 précité consid. 2.3 ; TF 6B_1017/2016 du 10 juillet 2017 consid. 2.4). Sur le plan subjectif, l’infraction réprimée par l’art. 217 CP doit être commise intentionnellement. Le dol éventuel suffit. L’intention de ne pas payer le montant dû sera en règle générale donnée si l’obligation a été fixée dans un jugement ou une convention car elle sera alors connue du 13J010</w:t>
      </w:r>
    </w:p>
    <w:p>
      <w:r>
        <w:t>- 21 - débiteur (ATF 128 IV 86 consid. 2b ; TF 6B_455/2013 du 29 juillet 2013 consid. 1.1.1). Le juge pénal est lié par la contribution d’entretien fixée par le juge civil (TF 6B_376/2023 du 18 octobre 2023 consid. 2.2).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6B_376/2023 précité consid. 2.2 ; TF 6B_679/2022 précité consid. 2.3 ; TF 6B_1180/2020 précité consid. 3.2).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w:t>
      </w:r>
    </w:p>
    <w:p>
      <w:r>
        <w:rPr>
          <w:b/>
        </w:rPr>
        <w:t>E. 5.2</w:t>
      </w:r>
    </w:p>
    <w:p>
      <w:r>
        <w:t>Il résulte de l’état de fait, qui n’est pas contesté, que l’appelant a réalisé les salaires mensuels suivants : - 2'184 fr. de janvier à juin 2023 ; - 2'747 fr. de juillet à décembre 2023 ; - entre 2'800 et 3'000 fr. de janvier à mars 2024. Compte tenu d'une base mensuelle de 1'200 fr., d'un loyer de 970 fr. et de frais d'acquisition du revenu de 250 fr., l'appelant ne pouvait payer aucune pension avant le mois de juillet 2023, contrairement à ce qu’a retenu le premier juge. En revanche, dès cette date, il lui restait un disponible de 327 fr., voire davantage dès le mois de janvier 2024. Il n’y a pas lieu de tenir compte de son assurance-maladie, par 460 fr., dès lors qu'il aurait pu demander des subsides qu'il aurait obtenus. Au demeurant, il a reconnu aux débats qu’il ne payait pas non plus les pensions alimentaires, par 500 fr., pour ses deux premiers enfants. Enfin, il ne peut pas se plaindre de ce que le jugement fixant la contribution d’entretien pour sa fille cadette 13J010</w:t>
      </w:r>
    </w:p>
    <w:p>
      <w:r>
        <w:t>- 22 - ne tiendrait pas suffisamment compte de sa situation financière, puisqu’il ne prétend pas avoir tenté de faire modifier le jugement du 11 juillet 2022. Partant, la condamnation de B.________ pour violation d'une obligation d'entretien doit être confirmée, dès lors qu’il avait à tout le moins en partie les moyens de s’acquitter de son dû pour la période de juillet 2023 à mars 2024.</w:t>
      </w:r>
    </w:p>
    <w:p>
      <w:r>
        <w:rPr>
          <w:b/>
        </w:rPr>
        <w:t>E. 6</w:t>
      </w:r>
    </w:p>
    <w:p>
      <w:r>
        <w:t>La confirmation de la condamnation de l’appelant pour l’ensemble des chefs d’infraction entraîne celle des conclusions civiles allouées en faveur des parties plaignantes, contestées dans leur principe, mais non dans leur quotité. Il en va de même de la mise à sa charge des frais de procédure.</w:t>
      </w:r>
    </w:p>
    <w:p>
      <w:r>
        <w:rPr>
          <w:b/>
        </w:rPr>
        <w:t>E. 7</w:t>
      </w:r>
    </w:p>
    <w:p>
      <w:r>
        <w:t>L’appelant soutient, à titre subsidiaire, qu’il devrait être condamné à une peine privative de liberté assortie du sursis. A cet égard, il expose que son casier judiciaire fait uniquement état d’infractions à la loi sur la circulation routière, qu’il a collaboré à l’enquête et qu’il a remboursé partiellement les parties plaignantes.</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13J010</w:t>
      </w:r>
    </w:p>
    <w:p>
      <w:r>
        <w:t>- 23 -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7.1.3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13J010</w:t>
      </w:r>
    </w:p>
    <w:p>
      <w:r>
        <w:t>- 24 -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7.2</w:t>
      </w:r>
    </w:p>
    <w:p>
      <w:r>
        <w:t>La culpabilité de B.________ n’est pas anodine. Par ses actes, il s’en est pris au patrimoine d’autrui, à l’administration de la justice et a violé ses obligations familiales. Il n’a pas hésité à falsifier la signature de celui qu’il avait décrit comme son grand frère pour obtenir un appartement sans assumer aucune obligation. D.________, qui travaillait et devait assumer l’entretien de sa propre famille, s’est retrouvé saisi à hauteur de 13'062 fr. 80 et s’est vu réclamer la somme de 35'263 fr. 25 pour un appartement dans lequel il n’a jamais mis les pieds. Le prévenu a agi pour des motifs égoïstes, pour améliorer sa situation personnelle et financière, sans égard aux tiers lésés par ses agissements. En procédure, il a présenté des explications parfois alambiquées, peinant à admettre le tort causé à D.________, mais aussi aux consommateurs trompés via la plateforme M.________. Il a sept antécédents pénaux, qui concernent pour la plupart la circulation routière. A décharge, l’escroquerie est relativement ancienne, le 13J010</w:t>
      </w:r>
    </w:p>
    <w:p>
      <w:r>
        <w:t>- 25 - prévenu a présenté des excuses aux débats et il s’est partiellement reconnu débiteur du montant réclamé par DB.________.</w:t>
      </w:r>
    </w:p>
    <w:p>
      <w:r>
        <w:rPr>
          <w:b/>
        </w:rPr>
        <w:t>E. 7.3</w:t>
      </w:r>
    </w:p>
    <w:p>
      <w:r>
        <w:t>Les infractions dont l’appelant est reconnu coupable justifient toutes le prononcé d’une peine privative de liberté pour des motifs de prévention spéciale. A cet égard, on notera en particulier le fait que, dans chaque cas, l’intéressé a agi pour améliorer sa situation personnelle et financière. Au demeurant, il avait déjà été condamné pour usage de plaques de contrôles falsifiées. Les infractions abstraitement les plus graves sont celles d’escroquerie et de faux dans les titres, qui doivent être sanctionnées d’une peine privative de liberté de trois mois chacune, peine qui doit être aggravée par l’effet du concours d’un mois pour le faux dans les certificats, d’un mois pour le blanchiment d’argent et d’un mois pour la violation d’une obligation d’entretien, infraction qui reste d’une gravité équivalente quand bien même la période retenue est de cinq mois inférieure à celle retenue par le premier juge. La peine privative de liberté de neuf mois prononcée par le tribunal de police est ainsi adéquate et doit être confirmée. Cette peine est partiellement complémentaire au jugement du Tribunal de police de l’E.________ vaudois du 23 juillet 2018, à l’ordonnance pénale du Ministère public de l’arrondissement du Nord vaudois du 20 septembre 2018 et au jugement du Tribunal de police de l’E.________ vaudois du 25 novembre 2020. Au vu des nombreux antécédents de l’appelant, la peine privative de liberté prononcée sera ferme, le pronostic étant défavorable. En effet, même si le casier judiciaire de l’intéressé fait état essentiellement d’infractions contre la loi sur la circulation routière, reste que ces condamnations sont très nombreuses et que tous les sursis accordés l’ont été en vain. On se trouve donc en présence d’un délinquant capable de récidiver à de nombreuses reprises en raison des mêmes faits sans que les sanctions prises à son encontre soient suivies d’effet. L’appelant est en outre encore débiteur de contributions d’entretien de sorte que le terrain est propice à la récidive. Il peut en revanche être renoncé à la révocation 13J010</w:t>
      </w:r>
    </w:p>
    <w:p>
      <w:r>
        <w:t>- 26 - du sursis octroyé le 13 octobre 2022, si bien que l’appelant sera éligible à l’octroi d’un régime d’exécution de peine alternatif s’il en remplit les autres conditions.</w:t>
      </w:r>
    </w:p>
    <w:p>
      <w:r>
        <w:rPr>
          <w:b/>
        </w:rPr>
        <w:t>E. 8</w:t>
      </w:r>
    </w:p>
    <w:p>
      <w:r>
        <w:t>Au vu de ce qui précède, l’appel de B.________ doit être rejeté et le jugement entrepris confirmé. Le défenseur d’office de B.________ a produit en audience une liste d’opérations dont il n’y a pas lieu de s’écarter si ce n’est pour adapter le temps consacré à l’audience d’appel. C’est ainsi une indemnité de 2'346 fr. qui sera allouée à Me Jeniffer Roduit pour la procédure d’appel, correspondant à</w:t>
      </w:r>
    </w:p>
    <w:p>
      <w:r>
        <w:rPr>
          <w:b/>
        </w:rPr>
        <w:t>E. 11</w:t>
      </w:r>
    </w:p>
    <w:p>
      <w:r>
        <w:t>heures et 10 minutes d’avocat au tarif horaire de 180 fr., à 40 fr. 20 de débours au taux forfaitaire de 2% et non 5% (cf. art. 3bis al. 1 RAJ [règlement sur l’assistance judiciaire en matière civile du 7 décembre 2010; BLV 211.02.3], applicable par renvoi de l’art. 26b TFIP [tarif des frais de procédure et indemnités en matière pénale du 28 septembre 2010; BLV 312.03.1]). –, à 120 fr. de vacation et à 175 fr. 80 de TVA. Vu l’issue de la cause, les frais de la procédure d’appel, par 4’766 fr., constitués des émoluments de jugement et d’audience, par 2’600 fr. (art. 21 al. 1 et 2 TFIP [tarif des frais de procédure et indemnités en matière pénale du 28 septembre 2010 ; BLV 312.03.1]), ainsi que de l’indemnité précitée, sont mis à la charge de B.________, qui succombe (art. 428 al. 1 CPP). B.________ sera tenu de rembourser à l’Etat l’indemnité allouée à son défenseur d’office dès que sa situation financière le permettra (art. 135 al. 4 CPP). 13J010</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