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PE24.003614 vom 29. Februar 2024</w:t>
      </w:r>
    </w:p>
    <w:p>
      <w:r>
        <w:t>VD Tribunal cantonal, 2024-02-29, FR</w:t>
      </w:r>
    </w:p>
    <w:p>
      <w:r>
        <w:rPr>
          <w:b/>
        </w:rPr>
        <w:t xml:space="preserve">Quelle: </w:t>
      </w:r>
      <w:r>
        <w:t>https://mcp.opencaselaw.ch/entscheid/vd_gerichte_PE24.003614</w:t>
      </w:r>
    </w:p>
    <w:p>
      <w:r>
        <w:t>FR: VD_GERICHTE PE24.003614 du 29 février 2024</w:t>
      </w:r>
    </w:p>
    <w:p>
      <w:r>
        <w:t>IT: VD_GERICHTE PE24.003614 del 29 febbraio 2024</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prévenu détenu qui a qualité pour recourir (art. 222 et 382 al. 1 CPP) et dans les formes prescrites (art. 385 al. 1 CPP), le recours est recevable. Les pièces nouvelles produites en annexe au recours sont également recevables (cf. TF 1B_550/2022 du 17 novembre 2022).</w:t>
      </w:r>
    </w:p>
    <w:p>
      <w:r>
        <w:rPr>
          <w:b/>
        </w:rPr>
        <w:t>E. 2.2.1</w:t>
      </w:r>
    </w:p>
    <w:p>
      <w:r>
        <w:t>Selon l’art. 221 al. 1 CPP, la détention provisoire et la détention pour des motifs de sûreté ne peuvent être ordonnées que lorsque le prévenu est fortement soupçonné d’avoir commis un crime ou</w:t>
      </w:r>
    </w:p>
    <w:p>
      <w:r>
        <w:t>- 6 -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w:t>
      </w:r>
    </w:p>
    <w:p>
      <w:r>
        <w:rPr>
          <w:b/>
        </w:rPr>
        <w:t>E. 2.2.2</w:t>
      </w:r>
    </w:p>
    <w:p>
      <w:r>
        <w:t>Pour qu’une personne soit placée et maintenue en détention provisoire, il doit exister à son égard des charges suffisantes ou des indices sérieux de culpabilité, c'est-à-dire des raisons plausibles de la soupçonner d'avoir commis une infraction (ATF 143 IV 330 consid. 2.1 ; ATF 143 IV 168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7B_464/2023 du 11 septembre 2023 consid. 3.1). Il n'appartient pas non plus au juge de la détention de résoudre définitivement les questions de qualification juridique des faits poursuivis (ATF 137 IV 122</w:t>
      </w:r>
    </w:p>
    <w:p>
      <w:r>
        <w:t>- 7 - consid. 3.2) ou de résoudre des questions juridiques complexes (ATF 141 IV 360 consid. 3.2 ; TF 1B_211/2017 du 27 juin 2017 consid. 2.1).</w:t>
      </w:r>
    </w:p>
    <w:p>
      <w:r>
        <w:rPr>
          <w:b/>
        </w:rPr>
        <w:t>E. 3.1</w:t>
      </w:r>
    </w:p>
    <w:p>
      <w:r>
        <w:t>Le recourant ne conteste pas, à juste titre, l’existence de soupçons suffisants de la commission d’un crime ou d’un délit. Dans un premier moyen, il conteste en revanche l’existence d’un risque de fuite. Il soutient que ce dernier serait purement abstrait et non prouvé dès lors qu’il habitait avec sa compagne depuis le mois de novembre 2023 sans discontinuer, qu’il s’était ainsi constitué un domicile fixe chez elle quand bien même il séjournait de façon illégale en Suisse, qu’il avait de fortes attaches dans notre pays puisque sa fille issue d’un premier lit habitait dans le canton de Vaud et qu’il la voyait environ deux fois toutes les semaines et qu’il avait entrepris une procédure auprès du Service de la population en vue d’un mariage avec sa co-prévenue, [...].</w:t>
      </w:r>
    </w:p>
    <w:p>
      <w:r>
        <w:rPr>
          <w:b/>
        </w:rPr>
        <w:t>E. 3.2</w:t>
      </w:r>
    </w:p>
    <w:p>
      <w:r>
        <w:t>; TF 1B_55/2023 du 16 février 2023 consid. 3.1).</w:t>
      </w:r>
    </w:p>
    <w:p>
      <w:r>
        <w:rPr>
          <w:b/>
        </w:rPr>
        <w:t>E. 3.2.1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3.2.2</w:t>
      </w:r>
    </w:p>
    <w:p>
      <w:r>
        <w:t>supra). La Chambre de céans relèvera tout de même que contrairement à ce que soutient V.________, l’autorité intimée n’a pas retenu que ce risque était avéré mais ne l’a pas examiné. Au demeurant, ce risque est concret. Le fait que les stupéfiants aient été saisis et détruits ne change rien à ce constat, rien n’empêchant le recourant de s’en fournir à nouveau. En outre, sa situation précaire est, contrairement à ce qu’il soutient, un indice en faveur du risque de réitération puisqu’il a lui-même indiqué s’être résigné à vendre de la cocaïne parce que lui et sa compagne n’avaient rien à manger.</w:t>
      </w:r>
    </w:p>
    <w:p>
      <w:r>
        <w:rPr>
          <w:b/>
        </w:rPr>
        <w:t>E. 3.3</w:t>
      </w:r>
    </w:p>
    <w:p>
      <w:r>
        <w:t>En l’espèce, le risque de fuite est indéniable. Le recourant, dont on ignore la nationalité exacte (il serait marocain mais se dit tunisien) se trouve en situation illégale en Suisse et ne peut pas y travailler. Il y a dès lors à craindre qu’en cas de libération, il ne tente de se soustraire aux poursuites pénales en fuyant dans la clandestinité ou en quittant le territoire suisse. Ses attaches avec notre pays sont toutes relatives. Certes, il a une fille en bas âge mais celle-ci vit avec sa mère et rien au dossier, sauf les dires du prévenu lui-même, ne permet de retenir qu’ils entretiennent des relations personnelles soutenues. Son projet de mariage avec sa compagne (après une relation somme toute récente datant de l’été 2023), son désir de « régulariser » sa situation avec le Service de la population et le fait qu’il ait habité chez son amie de façon continue depuis le mois de novembre 2023 ne changent rien au constat qui précède. S’agissant de son mariage, on relèvera encore qu’il est, quoi qu’il en soit, quelque peu compromis par l’enquête en cours puisque, lors de son audition du 16 février 2024, [...], en parlant du prévenu, a indiqué qu’elle pensait pour la suite refaire sa vie sans lui. Le risque de fuite est par conséquent avéré.</w:t>
      </w:r>
    </w:p>
    <w:p>
      <w:r>
        <w:rPr>
          <w:b/>
        </w:rPr>
        <w:t>E. 4.1</w:t>
      </w:r>
    </w:p>
    <w:p>
      <w:r>
        <w:t>Le recourant conteste également qu’il existe un risque de collusion. Il soutient qu’il s’est vu saisir ses téléphones portables lors de son audition du 15 février 2024, de sorte qu’il ne pourrait plus prendre contact avec ses acheteurs et fournisseurs puisqu’il ne connaît pas le numéro de téléphone de toutes les personnes qu’il a dans son répertoire, et qu’il existe une inégalité de traitement avec sa co-prévenue qui est, elle, libre.</w:t>
      </w:r>
    </w:p>
    <w:p>
      <w:r>
        <w:rPr>
          <w:b/>
        </w:rPr>
        <w:t>E. 4.2</w:t>
      </w:r>
    </w:p>
    <w:p>
      <w:r>
        <w:t>Le motif de détention pour risque de collusion au sens l’art. 221 al. 1 let. b CPP est réalisé lorsqu’il est sérieusement à craindre que le prévenu compromette la recherche de la vérité en exerçant une influence sur des personnes ou en altérant des moyens de preuve. L’altération des moyens de preuve consiste à détruire, à modifier ou à dissimuler des documents ou objets défavorables au prévenu (ATF 137 IV 122 consid. 6.2</w:t>
      </w:r>
    </w:p>
    <w:p>
      <w:r>
        <w:t>- 9 - et 6.4 ; Chaix, in : CR CPP, op. cit.,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w:t>
      </w:r>
    </w:p>
    <w:p>
      <w:r>
        <w:rPr>
          <w:b/>
        </w:rPr>
        <w:t>E. 4.3</w:t>
      </w:r>
    </w:p>
    <w:p>
      <w:r>
        <w:t>En l’espèce, l’enquête en est à ses débuts et, comme dans tout trafic de stupéfiants, elle nécessitera de nombreuses mesures d’instruction comme l’extraction et l’analyse des données des téléphones portables saisis, ce qui permettra notamment éventuellement d’identifier des acheteurs, entraînant de nouvelles auditions. De même, il s’agit de vérifier les dires du prévenu qui a présenté deux versions sensiblement différentes en moins de 24 heures. Celles-ci doivent être vérifiées et, pour ce faire, il est impératif qu’il ne puisse pas prendre contact avec ses acheteurs et fournisseurs puisque le risque qu’il fasse pression sur eux pour influencer leurs déclarations, voire convenir d’une version des faits et qu’il compromette leur interpellation est concret. A cet égard, peu importe que les téléphones portables qu’il utilisait aient été saisis puisqu’il est patent qu’il saura retrouver ses acheteurs et que ces derniers sauront également où le trouver en cas de libération. Enfin, c’est en vain que le recourant soutient qu’il ne devrait pas être traité différemment de [...], qui n’est pas détenue. En effet, le</w:t>
      </w:r>
    </w:p>
    <w:p>
      <w:r>
        <w:t>- 10 - seul fait qu’un coprévenu ait été remis en liberté ne suffit pas à établir une éventuelle inégalité de traitement et le recourant ne démontre pas en quoi la situation de cette personne ressemblerait à la sienne au point d'imposer un traitement identique (cf. TF 1B_449/2021 du 6 septembre 2021 consid. 3.2). Partant, c’est à juste titre que le Tribunal des mesures de contrainte a retenu l’existence d’un risque de collusion.</w:t>
      </w:r>
    </w:p>
    <w:p>
      <w:r>
        <w:rPr>
          <w:b/>
        </w:rPr>
        <w:t>E. 5</w:t>
      </w:r>
    </w:p>
    <w:p>
      <w:r>
        <w:t>Enfin, le recourant conteste tout risque de réitération, étant précisé que l’existence d’un tel risque n’a pas été examinée par le Tribunal des mesures de contrainte. On peut se passer de cet examen, les conditions prévues par l’art. 221 al. 1 CPP étant alternatives (cf. consid.</w:t>
      </w:r>
    </w:p>
    <w:p>
      <w:r>
        <w:rPr>
          <w:b/>
        </w:rPr>
        <w:t>E. 6.1</w:t>
      </w:r>
    </w:p>
    <w:p>
      <w:r>
        <w:t>Le recourant fait enfin valoir une violation du principe de la proportionnalité sans proposer de mesures de substitution. Il relève là également une inégalité de traitement avec [...].</w:t>
      </w:r>
    </w:p>
    <w:p>
      <w:r>
        <w:rPr>
          <w:b/>
        </w:rPr>
        <w:t>E. 6.2.1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w:t>
      </w:r>
    </w:p>
    <w:p>
      <w:r>
        <w:t>- 11 - provisoire aussi longtemps qu'elle n'est pas très proche de la durée de la peine privative de liberté à laquelle il faut s'attendre concrètement en cas de condamnation (ATF 145 IV 179 consid. 3.1 ; ATF 143 IV 168 consid. 5.1 ; ATF 139 IV 270 précité).</w:t>
      </w:r>
    </w:p>
    <w:p>
      <w:r>
        <w:rPr>
          <w:b/>
        </w:rPr>
        <w:t>E. 6.2.2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6.3</w:t>
      </w:r>
    </w:p>
    <w:p>
      <w:r>
        <w:t>Avec le Tribunal des mesures de contrainte, on ne voit pas quelle mesure de substitution serait à même de prévenir les risques ci- dessus, en particulier le risque de fuite. A cet égard, on soulignera que l’assignation à résidence proposée par le recourant en première instance n’est pas envisageable s’agissant d’un prévenu sans statut légal dans notre pays. Contrairement à ce que soutient le recourant, il s’agit là d’un obstacle dirimant. Enfin, compte tenu de la gravité des faits reprochés, de la peine qui pourrait être prononcée et des antécédents du recourant, une mise en détention provisoire pour une durée de trois mois apparaît proportionnée (art. 212 al. 3 CPP).</w:t>
      </w:r>
    </w:p>
    <w:p>
      <w:r>
        <w:rPr>
          <w:b/>
        </w:rPr>
        <w:t>E. 7</w:t>
      </w:r>
    </w:p>
    <w:p>
      <w:r>
        <w:t>Il résulte de ce qui précède que le recours, manifestement mal fondé, doit être rejeté, sans échange d’écritures (art. 390 al. 2 CPP), et l’ordonnance du 17 février 2024 confirmée.</w:t>
      </w:r>
    </w:p>
    <w:p>
      <w:r>
        <w:t>- 12 - Les frais de la procédure de recours, qui sont constitués en l’espèce de l’émolument d’arrêt, par 1’210 fr. (art. 20 al. 1 TFIP [Tarif des frais de procédure et indemnités en matière pénale du 28 septembre 2010 ; BLV 312.03.1]), et de l’indemnité due au défenseur d’office (art. 422 al. 1 et 2 let. a CPP), seront mis à la charge du recourant, qui succombe (art. 428 al. 1 CPP). Au vu du travail accompli par Me Lionel Ducret,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la TVA sur le tout (8.1%), par 44 fr. 60. L’indemnité d’office s’élèvera au total à 596 fr. en chiffres arrondis. Le remboursement à l’Etat de l’indemnité allouée au défenseur d’office sera exigible du recourant dès que sa situation financière le permettra (art. 135 al. 4 CPP). Par ces motifs, la Chambre des recours pénale prononce : I. Le recours est rejeté. II. L’ordonnance du 17 février 2024 est confirmée. III. L’indemnité allouée à Me Lionel Ducret, défenseur d’office de V.________, est fixée à 596 fr. (cinq cent nonante-six francs). IV. Les frais d’arrêt, par 1’210 fr. (mille deux cent dix francs), ainsi que l’indemnité allouée à Me Lionel Ducret, par 596 fr. (cinq cent nonante-six francs), sont mis à la charge de V.________. V. Le remboursement à l’Etat de l’indemnité allouée au chiffre III ci-dessus ne sera exigible que pour autant que la situation financière de V.________ le permette.</w:t>
      </w:r>
    </w:p>
    <w:p>
      <w:r>
        <w:t>- 13 - VI. L’arrêt est exécutoire. Le président : La greffière : Du Le présent arrêt, dont la rédaction a été approuvée à huis clos, est notifié, par l'envoi d'une copie complète, à : - Me Lionel Ducret, avocat (pour V.________),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