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PE24.003553 vom 7. Oktober 2024</w:t>
      </w:r>
    </w:p>
    <w:p>
      <w:r>
        <w:t>VD Tribunal cantonal, 2024-10-07, FR</w:t>
      </w:r>
    </w:p>
    <w:p>
      <w:r>
        <w:rPr>
          <w:b/>
        </w:rPr>
        <w:t xml:space="preserve">Quelle: </w:t>
      </w:r>
      <w:r>
        <w:t>https://mcp.opencaselaw.ch/entscheid/vd_gerichte_PE24.003553</w:t>
      </w:r>
    </w:p>
    <w:p>
      <w:r>
        <w:t>FR: VD_GERICHTE PE24.003553 du 7 octobre 2024</w:t>
      </w:r>
    </w:p>
    <w:p>
      <w:r>
        <w:t>IT: VD_GERICHTE PE24.003553 del 7 ottobre 2024</w:t>
      </w:r>
    </w:p>
    <w:p>
      <w:pPr>
        <w:pStyle w:val="Heading2"/>
      </w:pPr>
      <w:r>
        <w:t>Volltext</w:t>
      </w:r>
    </w:p>
    <w:p>
      <w:r>
        <w:t>TRIBUNAL CANTONAL 719 PE24.003553-SJH CHAMBRE DE S RECO URS PEN ALE __________________________________________ Arrêt du 7 octobre 2024 __________________ Composition : M. KRIEGER, président Mme Byrde et M. Perrot, juges Greffier : M. Glauser ***** Art. 385 CPP Statuant sur le recours interjeté le 31 juillet 2024 par B.________ contre l’ordonnance rendue le 25 juillet 2024 par le Ministère public de l’arrondissement de Lausanne dans la cause n° PE24.003553- SJH, la Chambre des recours pénale considère : En fait : A. Les 30 avril 2020 et 14 février 2024, B.________ a déposé plainte pénale contre inconnu. Il a en substance exposé être victime de cybercriminalité. Tous ses appareils électroniques ainsi que ceux de sa famille auraient été « hackés » et « compromis » par des personnes 351</w:t>
      </w:r>
    </w:p>
    <w:p>
      <w:r>
        <w:t>- 2 - malveillantes faisant notamment partie de « The Freemasonry ». Certaines des attaques relatées se seraient également déroulées à Londres. B. Par ordonnance du 25 juillet 2024, le Ministère public de l’arrondissement de Lausanne a refusé d’entrer en matière (I) et a laissé les frais à la charge de l’Etat (II). Le procureur a considéré que B.________ ne cessait de répéter, dans de longs écrits, que tant lui que sa famille étaient victimes de cyberattaques depuis plus de cinq ans et qu’il avait des preuves sérieuses pour étayer ses dires. Il avait notamment expliqué que, sur fond de consommation de divers stupéfiants, diverses personnes et entités s’en prenaient à lui, sans pouvoir en spécifier les raisons, le privant ainsi de toute vie privée et professionnelle. Il n’apportait toutefois aucun élément tangible à l’appui de ses déclarations confuses et il n’existait aucun soupçon suffisant justifiant l’ouverture d’une instruction pénale, de sorte qu’il se justifiait de refuser d’entrer en matière. C. Par acte du 31 juillet 2024, B.________ a recouru contre cette ordonnance en concluant implicitement à son annulation. Le 17 septembre 2024, dans le délai imparti à cet effet, B.________ a effectué un versement de 770 fr. à titre de sûretés.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w:t>
      </w:r>
    </w:p>
    <w:p>
      <w:r>
        <w:t>- 3 -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L’art. 385 al. 2, 1re phrase, CPP prévoit que si le mémoire ne satisfait pas aux exigences mentionnées à l’alinéa 1, l’autorité de recours le renvoie au recourant pour qu’il le complète dans un bref délai. Si après</w:t>
      </w:r>
    </w:p>
    <w:p>
      <w:r>
        <w:t>- 4 -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1.3 En l’espèce, le recours, interjeté en temps utile devant le Ministère public qui l’a transmis à la Chambre de céans comme objet de sa compétence, par une partie plaignante qui a qualité pour recourir (art. 382 al. 1 CPP), est recevable dans cette mesure et sous réserve de ce qui suit. Dans son acte de recours, B.________ répète qu’il est victime de persécutions, d’intimidation, de manipulation et piratage de ses données privées sur les réseaux sociaux, agissements qui seraient imputables à des organisations criminelles et autres société secrètes actives sur le Web. Cela étant, le recourant ne soulève aucun moyen critique en lien avec les motifs contenus dans l’ordonnance attaquée, ni n’explique en quoi, selon lui, le raisonnement sur lequel le procureur a fondé sa décision serait erroné, ni en quoi cela devrait conduire à une décision différente. Il se contente d’affirmer être victime de cybercriminalité et disposer de preuves en ce sens, sans toutefois en fournir et alors même que le procureur a précisément constaté qu’aucun élément tangible à l’appui des allégations du recourant et justifiant l’ouverture d’une instruction ne figurait au dossier. Or, de telles affirmations ne sauraient constituer une motivation suffisante dans le cadre de la procédure de recours. Il s’ensuit que le recours ne satisfait pas aux exigences de motivation de l’art. 385 al. 1 CPP, et doit être déclaré irrecevable. Un tel vice ne saurait par</w:t>
      </w:r>
    </w:p>
    <w:p>
      <w:r>
        <w:t>- 5 - ailleurs justifier qu’un délai supplémentaire soit fixé au recourant pour compléter son acte en application de l’art. 385 al. 2 CPP. Le recourant demande à être entendu par le procureur et non par la Cour de céans. Quoi qu’il en soit, il y a lieu de rappeler que si le Code de procédure pénale prévoit que l’autorité de recours peut ordonner des débats, d’office ou à la demande d’une partie (art. 390 al. 5 CPP), la procédure de recours est en principe écrite et qu’ainsi la tenue des débats doit demeurer exceptionnelle (cf. art. 397 al. 1 CPP ; TF 7B_505/2023 du 9 octobre 2023 consid. 3.3). Or, il n’y a dans le cas particulier pas lieu d’entendre le recourant, son recours étant irrecevable et celui-ci n’exposant pas en quoi son audition permettrait d’apporter des éléments qu’il n’aurait pas pu faire valoir par écrit.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Le montant de 770 fr. déjà versé par celui-ci à titre de sûretés sera partiellement compensé avec ces frais (art. 383 al. 1 CPP ; art. 7 TFIP), un montant de 220 fr. devant, par conséquent, lui être restitué. Par ces motifs, la Chambre des recours pénale prononce : I. Le recours est irrecevable. II. Les frais d’arrêt, par 550 fr. (cinq cent cinquante francs), sont mis à la charge de B.________.</w:t>
      </w:r>
    </w:p>
    <w:p>
      <w:r>
        <w:t>- 6 - III. Les frais mis à la charge du recourant au chiffre II ci-dessus sont compensés avec le montant de 770 fr. (sept cent septante francs) déjà versé par celui-ci à titre de sûretés et le solde, par 220 fr. (deux cent vingt francs) lui est restitué. IV. L’arrêt est exécutoire. Le président : Le greffier : Du Le présent arrêt, dont la rédaction a été approuvée à huis clos, est notifié, par l'envoi d'une copie complète, à : - B.________,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