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PE24.003459 vom 15. August 2024</w:t>
      </w:r>
    </w:p>
    <w:p>
      <w:r>
        <w:t>VD Tribunal cantonal, 2024-08-15, FR</w:t>
      </w:r>
    </w:p>
    <w:p>
      <w:r>
        <w:rPr>
          <w:b/>
        </w:rPr>
        <w:t xml:space="preserve">Quelle: </w:t>
      </w:r>
      <w:r>
        <w:t>https://mcp.opencaselaw.ch/entscheid/vd_gerichte_PE24.003459</w:t>
      </w:r>
    </w:p>
    <w:p>
      <w:r>
        <w:t>FR: VD_GERICHTE PE24.003459 du 15 août 2024</w:t>
      </w:r>
    </w:p>
    <w:p>
      <w:r>
        <w:t>IT: VD_GERICHTE PE24.003459 del 15 agosto 2024</w:t>
      </w:r>
    </w:p>
    <w:p>
      <w:pPr>
        <w:pStyle w:val="Heading2"/>
      </w:pPr>
      <w:r>
        <w:t>Erwägungen</w:t>
      </w:r>
    </w:p>
    <w:p>
      <w:r>
        <w:rPr>
          <w:b/>
        </w:rPr>
        <w:t>E. 7</w:t>
      </w:r>
    </w:p>
    <w:p>
      <w:r>
        <w:t>- 22 -</w:t>
      </w:r>
    </w:p>
    <w:p>
      <w:r>
        <w:rPr>
          <w:b/>
        </w:rPr>
        <w:t>E. 7.1</w:t>
      </w:r>
    </w:p>
    <w:p>
      <w:r>
        <w:t>La recourante soutient enfin que l’implication de P.Z.________ devrait être examinée non seulement à la lumière des faits objets de la procédure dirigée contre lui dans le cadre de l’enquête PE21.017768, mais également compte tenu des nouveaux éléments invoqués dans sa plainte du 5 février 2024 et de ceux développés ci-dessus.</w:t>
      </w:r>
    </w:p>
    <w:p>
      <w:r>
        <w:rPr>
          <w:b/>
        </w:rPr>
        <w:t>E. 7.2</w:t>
      </w:r>
    </w:p>
    <w:p>
      <w:r>
        <w:t>Les conditions d’une reprise de cause au sens de l’art. 323 al. 1 CPP ont été développées au considérant 6.2 ci-dessus, de sorte qu’il peut y être renvoyé.</w:t>
      </w:r>
    </w:p>
    <w:p>
      <w:r>
        <w:rPr>
          <w:b/>
        </w:rPr>
        <w:t>E. 7.3</w:t>
      </w:r>
    </w:p>
    <w:p>
      <w:r>
        <w:t>Il y a lieu de rappeler que, dans sa plainte du 13 octobre 2021, la recourante reprochait en substance à son frère d’avoir volé des objets mobiliers à l’intérieur de l’immeuble sis route [...], à [...], d’avoir disposé de valeurs patrimoniales durant la période au cours de laquelle il avait été l’exécuteur testamentaire de feu H.Z.________ et d’avoir dérobé une voiture et de l’argent qui se trouvait sur le compte bancaire n° [...] auprès d’UBS SA. Faute pour la recourante de démontrer qu’il existerait de nouveaux éléments ou moyens de preuves qui étaient inconnus du Ministère public lorsqu’il a rendu l’ordonnance de non-entrée en matière du 17 décembre 2021 et qui permettraient concrètement d'envisager une responsabilité pénale de P.Z.________ s’agissant de ces faits, la cause référencée PE21.017768 ne saurait être reprise. S’agissant du renvoi de la recourante aux éléments invoqués dans sa plainte du 5 février 2024, il ne satisfait pas, comme on l’a déjà vu (cf. supra consid. 4.3), aux exigences de motivation de l’art. 385 al. 1 CPP, de sorte que ce moyen n’est pas recevable à cet égard. Quant aux éléments développés dans son acte de recours, la recourante ne démontre pas l’existence de faits ou de moyens de preuves nouveaux qui justifieraient de reprendre l’enquête ouverte contre P.Z.________, outre les éléments développés au considérant 6 ci-dessus, qui pourront faire l’objet d’un nouvel examen par le Ministère public.</w:t>
      </w:r>
    </w:p>
    <w:p>
      <w:r>
        <w:t>- 23 - Partant, ce grief doit être rejeté dans la mesure où il est recevable.</w:t>
      </w:r>
    </w:p>
    <w:p>
      <w:r>
        <w:rPr>
          <w:b/>
        </w:rPr>
        <w:t>E. 8</w:t>
      </w:r>
    </w:p>
    <w:p>
      <w:r>
        <w:t>En définitive, le recours doit être partiellement admis dans la mesure où il est recevable et l’ordonnance entreprise réformée en ce sens que la procédure PE22.019067-JMU est reprise s’agissant de la problématique du transfert des actions de la G.________ à R.J.________ et le dossier renvoyé au Ministère public pour qu’il procède dans le sens des considérants. L’ordonnance sera confirmée pour le surplus. Vu le sort du recours, qui n’est que partiellement admis dans la mesure de sa recevabilité, les frais de la procédure, constitués du seul émolument d’arrêt, par 2'530 fr. (art. 20 al. 1 TFIP [tarif des frais de procédure et indemnités en matière pénale du 28 septembre 2010 ; BLV 312.03.1]), seront mis par quatre cinquièmes, soit par 2'024 fr., à la charge de la recourante, le solde étant laissé à la charge de l’Etat. Le montant de 770 fr. déjà versé par la recourante à titre de sûretés sera imputé sur ces frais (art. 383 al. 1 CPP ; art. 7 TFIP). La recourante, qui a procédé avec l’assistance d’un conseil de choix et qui a obtenu partiellement gain de cause dans la mesure de la recevabilité de son recours, a droit, de la part de l’Etat, à une indemnité réduite pour les dépenses occasionnées par la procédure de recours (art. 433 al. 1 let. a CPP, applicable par renvoi de l’art. 436 al. 1 CPP). Au vu du mémoire déposé et de la nature de l’affaire, celle-ci sera fixée à 3’000 fr., correspondant à 10 h 00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60 fr., plus la TVA au taux de 8,1 %, par 247 fr. 85, soit à 3’307 fr. 85 au total. La recourante n’ayant obtenu que partiellement gain de cause dans la mesure de la recevabilité de son recours, cette indemnité sera réduite de quatre cinquièmes et ainsi arrêtée à 662 fr. en chiffres arrondis, TVA et débours compris, à la charge de l’Etat.</w:t>
      </w:r>
    </w:p>
    <w:p>
      <w:r>
        <w:t>- 24 - Conformément à l'art. 442 al. 4 CPP, l’indemnité de 662 fr. allouée à la recourante sera compensée avec les frais d'arrêt mis à sa charge, à hauteur de 1'254 fr. après déduction du montant de 770 fr. versé à titre de sûretés, de sorte que le solde dû par la recourante à l’Etat s'élève en définitive à 592 francs. Par ces motifs, la Chambre des recours pénale prononce : I. Le recours est partiellement admis dans la mesure où il est recevable. II. Le chiffre II du dispositif de l’ordonnance du 21 mai 2024 est réformé en ce sens que la procédure PE22.019067-JMU est reprise s’agissant du transfert des actions de la G.________. L’ordonnance est confirmée pour le surplus. III. Le dossier de la cause est renvoyé au Ministère public de l’arrondissement de Lausanne pour qu’il procède dans le sens des considérants. IV. Les frais d’arrêt, par 2’530 fr. (deux mille cinq cent trente francs), sont mis par quatre cinquièmes, soit par 2’024 fr. (deux mille vingt-quatre francs), à la charge de V.Z.________, le solde étant laissé à la charge de l’Etat. V. L’avance de frais de 770 fr. (sept cent septante francs) versée par la recourante est imputée sur les frais mis à sa charge au chiffre IV ci-dessus, le solde dû par la recourante à l’Etat s’élevant à 1’254 fr. (mille deux cent cinquante-quatre francs). VI. Une indemnité réduite de 662 fr. (six cent soixante-deux francs) est allouée à la recourante pour la procédure de recours, à la charge de l’Etat.</w:t>
      </w:r>
    </w:p>
    <w:p>
      <w:r>
        <w:t>- 25 - VII. L’indemnité allouée à la recourante au chiffre VI ci-dessus, par 662 fr. (six cent soixante-deux francs), est compensée avec les frais d'arrêt mis à sa charge, par 1’254 fr. (mille deux cent cinquante-quatre francs), un solde de 592 fr. (cinq cent nonante-deux francs) étant dû par V.Z.________ à l’Etat. VIII. L’arrêt est exécutoire. Le président : La greffière : Du Le présent arrêt, dont la rédaction a été approuvée à huis clos, est notifié, par l'envoi d'une copie complète, à : - Mme V.Z.________, - Ministère public central, et communiqué à : - M. le Procureur de l’arrondissement de Lausanne, par l’envoi de photocopies.</w:t>
      </w:r>
    </w:p>
    <w:p>
      <w:r>
        <w:t>- 26 -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