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PE24.003355 vom 29. Juli 2024</w:t>
      </w:r>
    </w:p>
    <w:p>
      <w:r>
        <w:t>VD Tribunal cantonal, 2024-07-29, FR</w:t>
      </w:r>
    </w:p>
    <w:p>
      <w:r>
        <w:rPr>
          <w:b/>
        </w:rPr>
        <w:t xml:space="preserve">Quelle: </w:t>
      </w:r>
      <w:r>
        <w:t>https://mcp.opencaselaw.ch/entscheid/vd_gerichte_PE24.003355</w:t>
      </w:r>
    </w:p>
    <w:p>
      <w:r>
        <w:t>FR: VD_GERICHTE PE24.003355 du 29 juillet 2024</w:t>
      </w:r>
    </w:p>
    <w:p>
      <w:r>
        <w:t>IT: VD_GERICHTE PE24.003355 del 29 luglio 2024</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(ATF 140 IV 202 consid. 2.2, SJ 2015 I 73 ; ATF 139 IV 113, JdT 2014 IV 30 ; CREP 7 août 2020/609 ; CREP 19 février 2019/127 ; CREP 14 septembre 2021/877).</w:t>
      </w:r>
    </w:p>
    <w:p>
      <w:r>
        <w:rPr>
          <w:b/>
        </w:rPr>
        <w:t>E. 1.2</w:t>
      </w:r>
    </w:p>
    <w:p>
      <w:r>
        <w:t>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Ce délai – qui ne peut être prolongé (cf. art. 89 al. 1 CPP) – commence à courir le jour qui suit la notification de la décision contestée (art. 90 al. 1 CPP). Le recours doit être remis au plus tard le dernier jour du délai à l’autorité pénale, à la Poste suisse, à une représentation consulaire ou diplomatique suisse ou, s’agissant de personnes détenues, à la direction de l’établissement carcéral (cf. art. 91 al. 2 CPP).</w:t>
      </w:r>
    </w:p>
    <w:p>
      <w:r>
        <w:t>- 4 -</w:t>
      </w:r>
    </w:p>
    <w:p>
      <w:r>
        <w:rPr>
          <w:b/>
        </w:rPr>
        <w:t>E. 1.3</w:t>
      </w:r>
    </w:p>
    <w:p>
      <w:r>
        <w:t>Selon l'art. 85 al. 4 let. a CPP, un prononcé est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et les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228 consid. 1.1 ; TF 6B_880/2022 précité).</w:t>
      </w:r>
    </w:p>
    <w:p>
      <w:r>
        <w:rPr>
          <w:b/>
        </w:rPr>
        <w:t>E. 1.4</w:t>
      </w:r>
    </w:p>
    <w:p>
      <w:r>
        <w:t>En l'espèce, il ressort du suivi des envois de la Poste suisse que le pli recommandé contenant le prononcé attaqué a été envoyé le 14 juin 2024 et que sa destinatrice a reçu un avis de retrait le 17 juin 2024. Il est ainsi réputé avoir été notifié à X.________ – qui se savait à l’évidence partie à une procédure pénale après avoir été condamnée par ordonnance pénale, avoir formé opposition à celle-ci et sollicité dans ce cadre tant au Ministère public qu'au Tribunal un défenseur d'office – le 24 juin 2024, soit le septième jour du délai de garde. Il s’ensuit que le délai de dix jours pour</w:t>
      </w:r>
    </w:p>
    <w:p>
      <w:r>
        <w:t>- 5 - recourir a commencé à courir le lendemain de cette date et est arrivé à échéance le 4 juillet 2024. En conséquence, le recours, déposé le 8 juillet 2024, est tardif et dès lors irrecevable.</w:t>
      </w:r>
    </w:p>
    <w:p>
      <w:r>
        <w:rPr>
          <w:b/>
        </w:rPr>
        <w:t>E. 2</w:t>
      </w:r>
    </w:p>
    <w:p>
      <w:r>
        <w:t>Au vu de ce qui précède, le recours doit être déclaré irrecevable, sans échange d’écritures (art. 390 al. 2 CPP). Les frais de la procédure de recours, constitués en l’espèce du seul émolument d’arrêt (art. 422 al. 1 CPP), par 550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550 fr. (cinq cent cinquante francs), sont mis à la charge d'X.________. III. L’arrêt est exécutoire. Le président : La greffière : Du Le présent arrêt, dont la rédaction a été approuvée à huis clos, est notifié, par l'envoi d'une copie complète, à : - X.________, - Ministère public central,</w:t>
      </w:r>
    </w:p>
    <w:p>
      <w:r>
        <w:t>- 6 - et communiqué à : - Monsieur le Président du Tribunal d'arrondissement de Lausanne, - Madame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