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PE24.003249 vom 3. Mai 2024</w:t>
      </w:r>
    </w:p>
    <w:p>
      <w:r>
        <w:t>VD Tribunal cantonal, 2024-05-03, FR</w:t>
      </w:r>
    </w:p>
    <w:p>
      <w:r>
        <w:rPr>
          <w:b/>
        </w:rPr>
        <w:t xml:space="preserve">Quelle: </w:t>
      </w:r>
      <w:r>
        <w:t>https://mcp.opencaselaw.ch/entscheid/vd_gerichte_PE24.003249</w:t>
      </w:r>
    </w:p>
    <w:p>
      <w:r>
        <w:t>FR: VD_GERICHTE PE24.003249 du 3 mai 2024</w:t>
      </w:r>
    </w:p>
    <w:p>
      <w:r>
        <w:t>IT: VD_GERICHTE PE24.003249 del 3 maggio 2024</w:t>
      </w:r>
    </w:p>
    <w:p>
      <w:pPr>
        <w:pStyle w:val="Heading2"/>
      </w:pPr>
      <w:r>
        <w:t>Volltext</w:t>
      </w:r>
    </w:p>
    <w:p>
      <w:r>
        <w:t>TRIBUNAL CANTONAL 344 PE24.003249-BDR CHAMBRE DE S RECO URS PEN ALE __________________________________________ Arrêt du 3 mai 2024 __________________ Composition : M. K R I E G E R, président Mme Byrde et M. Maillard, juges Greffier : M. Ritter ***** Art. 22 al. 1 ad art. 181 CP ; 310 CPP Statuant sur le recours interjeté le 9 mars 2024 par S.________ contre l’ordonnance de non-entrée en matière rendue le 29 février 2024 par le Ministère public de l’arrondissement de Lausanne dans la cause n° PE24.003249-BDR, la Chambre des recours pénale considère : En fait : A. Par acte du 10 février 2024, S.________ a déposé plainte pénale pour contrainte contre l’avocat [...] (P. 4/1). Elle faisait en substance valoir qu’elle était locataire d’un appartement subventionné de quatre pièces et demie sis à [...], à [...], et que, depuis 2020, elle était en litige avec sa bailleresse, [...], représentée par Me [...], dans une procédure en lien avec 351</w:t>
      </w:r>
    </w:p>
    <w:p>
      <w:r>
        <w:t>- 2 - des défauts de la chose louée et l’octroi d’indemnités pour ces défauts. Parallèlement à ce conflit, son bail avait été résilié pour le 31 mars 2024, ses revenus ne lui donnant plus droit à un appartement subventionné. Sa situation financière s’étant à nouveau péjorée et ayant appris, à la fin de l’année 2023, que des voisins - qui occupaient un appartement de trois pièces et demie dans le même immeuble - étaient en quête d’un logement plus vaste, elle avait sollicité et obtenu l’accord de la commune et de la gérance [...] pour procéder à un échange d’appartement. Par courrier du 27 novembre 2023, adressé à son conseil, Me [...], l’avocat [...] avait toutefois voulu la contraindre à renoncer aux indemnités qui lui étaient dues au titre des défauts de la chose louée si elle voulait obtenir l’accord de la bailleresse pour le logement de trois pièces et demie subventionné qu’elle convoitait. Ce courrier, produit à l’appui de la plainte (P. 4/2), contenait notamment le passage suivant : « (…) Vous m’avez indiqué que Mme S.________ souhaitait procéder à un changement d’appartement avec un autre locataire. Cette demande a été confirmée par la gérance. En l’état, la société bailleresse n’entend pas entrer en matière. En effet, votre cliente et la bailleresse sont divisées par une procédure puisque Mme S.________ a souhaité poursuivre son action et saisir le Tribunal des baux. J’entends déposer une réponse bien évidemment. Concernant la demande d’indemnités pour nuisances ensuite des travaux des CFF, ma cliente s’en tiendra à la proposition formulée par le Tribunal des baux lors de l’audience relative aux locataires [...]. S’agissant des frais accessoires, j’attire votre attention sur le fait que Mme S.________ se trouve dans la même situation que Mme [...] concernant les frais accessoires qui ont été facturés. Je tenais d’ores et déjà à vous en informer. Je précise que ma cliente reste ouverte à une solution transactionnelle. (…) ». B. Par ordonnance du 29 février 2024, le Ministère public de l’arrondissement de Lausanne (ci-après : le Ministère public) a refusé d’entrer en matière sur la plainte (I) et dit que les frais étaient laissés à la charge de l’Etat (II).</w:t>
      </w:r>
    </w:p>
    <w:p>
      <w:r>
        <w:t>- 3 - Le Procureur a considéré que les faits exposés et les documents produits ne laissaient pas apparaître d’éléments constitutifs d’une quelconque infraction pénale. C. Par acte du 9 mars 2024, remis à la poste le même jour, S.________ a recouru contre cette ordonnance, en concluant implicitement à son annulation, en demandant que le procureur soit tenu d’ouvrir une enquête et que Me [...] soit convoqué « pour être entendu sur les motifs qui l’ont poussé à écrire qu[’elle n’aurait] pas l’appartement demandé parce qu[’elle avait] décidé de continuer [s]a procédure devant le Tribunal des baux ». Le 15 avril 2024, S.________ a effectué le dépôt de 550 fr. requis à titre de sûretés par avis de la Chambre de céans du 9 avril 2024.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par la partie plaignante qui a qualité pour recourir (art. 382 al. 1 CPP), le recours est recevable.</w:t>
      </w:r>
    </w:p>
    <w:p>
      <w:r>
        <w:t>- 4 - 2. 2.1 La recourante fait en substance valoir que Me [...] a « (mis) en parallèle la continuation d’une procédure judiciaire engagée en raison de défauts de l’immeuble avec l’échange d’appartements ». Elle en déduit qu’elle avait le « pistolet (…) sur la tempe », puisqu’elle devait choisir entre retirer sa procédure ou renoncer à l’appartement subventionné dont elle avait impérativement besoin. 2.2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w:t>
      </w:r>
    </w:p>
    <w:p>
      <w:r>
        <w:t>- 5 -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7B_24/2023, 7B_25/2023 du 22 février 2024 consid. 3.2 ; TF 7B_27/2023 du 12 septembre 2023 consid. 3.2 ; ATF 143 IV 241 consid. 2.2.1 ; ATF 138 IV 86 consid. 4.1 ; ATF 137 IV 219 consid. 7 et 285 consid. 2.3). 2.3 Se rend coupable de contrainte au sens de l'art. 181 CP (Code pénal ; RS 311.0), quiconque, en usant de violence envers une personne ou en la menaçant d'un dommage sérieux, ou en l'entravant de quelque autre manière dans sa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6B_1116/2021 du 22 juin 2022 consid. 2.1 ;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w:t>
      </w:r>
    </w:p>
    <w:p>
      <w:r>
        <w:t>- 6 -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Sur le plan subjectif, il faut que l'auteur ait agi intentionnellement, c'est-à-dire qu'il ait voulu contraindre la victime à adopter le comportement visé en étant conscient de l'illicéité de son propre comportement ; le dol éventuel suffit (ATF 120 IV 17 consid. 2c ; TF 6B_1116/2021 précité, ibid. ; TF 6B_974/2018 du 20 décembre 2018 consid. 3.1). 3. En l’espèce, il ressort du dossier que la recourante se confronte à sa bailleresse dans le cadre d’une procédure pendante devant</w:t>
      </w:r>
    </w:p>
    <w:p>
      <w:r>
        <w:t>- 7 - le Tribunal des baux. Elle a par ailleurs émis le souhait d’échanger son appartement avec un autre locataire de l’immeuble. Dans son courrier du 27 novembre 2023, déjà cité, l’avocat [...], représentant la bailleresse, a exposé que sa mandante n’entendait pas accéder à cette demande en raison du litige pendant devant l’autorité judiciaire. Dans la mesure où un bailleur n’a aucune obligation de contracter, on ne saurait voir dans ce refus un acte contraire au droit. Il ne ressort par ailleurs pas du courrier litigieux que ce refus avait pour but d’obliger la recourante à retirer sa requête devant le tribunal, ni même à brader ses droits dans le cadre de la procédure alors pendante : l’allusion au fait que la cliente de Me [...] était disposée à accepter une offre identique à celle formulée par le Tribunal des baux lui-même dans une affaire apparemment similaire laisse même penser le contraire. Enfin, on relèvera que cet échange est intervenu alors que la recourante était assistée d’une avocate et donc en mesure de se défendre, respectivement de négocier efficacement. 4. Il s’ensuit que les éléments constitutifs d’une quelconque infraction, singulièrement de celle de contrainte, consommée ou tentée, ne sont ainsi manifestement pas réunis. C’est donc à juste titre que le Ministère public a refusé d’entrer en matière sur la plainte. 5. En définitive, le recours, manifestement mal fondé, doit être rejeté, sans échange d'écritures (art. 390 al. 2 CPP), et l’ordonnance attaquée confirmée. Les frais de la procédure de recours, constitués du seul émolument d’arrêt, par 770 fr. (art. 20 al. 1 TFIP [Tarif des frais de procédure et indemnités en matière pénale du 28 septembre 2010 ; BLV 312.03.1]), seront mis à la charge de la recourante, qui succombe (art. 428 al. 1 CPP). Le montant de 550 fr. déjà versé par la recourante à titre de sûretés sera imputé sur ces frais (art. 7 TFIP).</w:t>
      </w:r>
    </w:p>
    <w:p>
      <w:r>
        <w:t>- 8 - Par ces motifs, la Chambre des recours pénale prononce : I. Le recours est rejeté. II. L’ordonnance du 29 février 2024 est confirmée. III. Les frais d’arrêt, par 770 fr. (sept cent septante francs), sont mis à la charge d’S.________. IV. Le montant de 550 fr. (cinq cent cinquante francs) déjà versé par S.________ à titre de sûretés est imputé sur les frais mis à sa charge au chiffre III ci-dessus, le solde dû par elle s’élevant à 220 fr. (deux cent vingt francs). V. L’arrêt est exécutoire. Le président : Le greffier :</w:t>
      </w:r>
    </w:p>
    <w:p>
      <w:r>
        <w:t>- 9 - Du Le présent arrêt, dont la rédaction a été approuvée à huis clos, est notifié, par l'envoi d'une copie complète, à : - Mme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