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PE24.002462 vom 20. September 2024</w:t>
      </w:r>
    </w:p>
    <w:p>
      <w:r>
        <w:t>VD Tribunal cantonal, 2024-09-20, FR</w:t>
      </w:r>
    </w:p>
    <w:p>
      <w:r>
        <w:rPr>
          <w:b/>
        </w:rPr>
        <w:t xml:space="preserve">Quelle: </w:t>
      </w:r>
      <w:r>
        <w:t>https://mcp.opencaselaw.ch/entscheid/vd_gerichte_PE24.002462</w:t>
      </w:r>
    </w:p>
    <w:p>
      <w:r>
        <w:t>FR: VD_GERICHTE PE24.002462 du 20 septembre 2024</w:t>
      </w:r>
    </w:p>
    <w:p>
      <w:r>
        <w:t>IT: VD_GERICHTE PE24.002462 del 20 settembre 2024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décembre1979 ; BLV 173.01]).</w:t>
      </w:r>
    </w:p>
    <w:p>
      <w:r>
        <w:rPr>
          <w:b/>
        </w:rPr>
        <w:t>E. 1.2</w:t>
      </w:r>
    </w:p>
    <w:p>
      <w:r>
        <w:t>En l’espèce, le recours a été interjeté dans le délai légal, auprès de l'autorité compétente et dans les formes prescrites, sous réserve de ce qui suit.</w:t>
      </w:r>
    </w:p>
    <w:p>
      <w:r>
        <w:rPr>
          <w:b/>
        </w:rPr>
        <w:t>E. 2.1</w:t>
      </w:r>
    </w:p>
    <w:p>
      <w:r>
        <w:t>; TF 6B_608/2020 du 4 décembre 2020 consid. 3.1).</w:t>
      </w:r>
    </w:p>
    <w:p>
      <w:r>
        <w:rPr>
          <w:b/>
        </w:rPr>
        <w:t>E. 2.2.1</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 TF 7B_931/2023 du 24 mai 2024 consid. 2.2.1, TF 7B_12/2021 du 11 septembre 2023 et les arrêts cités). L'intérêt juridiquement protégé se distingue de l'intérêt digne de protection, qui n'est pas nécessairement un intérêt juridique, mais peut être un intérêt de fait. Dans le cadre des voies de droit instituées par le Code de procédure pénale, un simple intérêt de fait ne suffit pas à conférer la qualité pour recourir (ATF 145 IV 161 consid. 3.1 ; TF 7B_931/2023 du 24 mai 2024 consid. 2.2.1, TF 7B_12/2021 précité et les arrêts cités). Le recourant doit ainsi établir que la décision attaquée viole une règle de droit qui a pour but de protéger ses intérêts et qu'il peut en conséquence en déduire un droit subjectif (ATF 145 IV 161 consid. 3.1 ; TF 7B_931/2023 du 24 mai 2024 consid. 2.2.1, TF 7B_51/2024 du 25 avril 2024 consid. 2.2.1 et les références citées). Une partie qui n'est pas concrètement lésée par la décision n'a donc pas la qualité pour recourir et son recours doit être déclaré irrecevable (cf. ATF 144 IV 81 consid. 2.3.1 ; TF 7B_931/2023 du 24 mai 2024 consid. 2.2.1, TF 7B_12/2021 précité consid. 2.2.3).</w:t>
      </w:r>
    </w:p>
    <w:p>
      <w:r>
        <w:t>- 6 -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 ATF 141 IV 1 consid. 3.1 ; ATF 138 IV 258 consid. 2.3, JdT 2013 IV 214). Les droits touchés sont les biens juridiques individuels tels que la vie et l’intégrité corporelle, la propriété, l’honneur, etc. (ATF 141 IV 1 consid. 3.1).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 ATF 138 IV 258 consid. 2.3 ; ATF 129 IV 95 consid. 3.1). Pour être directement touché, le lésé doit en outre subir une atteinte en rapport de causalité directe avec l’infraction poursuivie, ce qui exclut les dommages par ricochet (ATF 147 IV 269 consid 3.1 ; TF 1B_537/2021 du 13 janvier 2022 consid.</w:t>
      </w:r>
    </w:p>
    <w:p>
      <w:r>
        <w:rPr>
          <w:b/>
        </w:rPr>
        <w:t>E. 2.2.2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w:t>
      </w:r>
    </w:p>
    <w:p>
      <w:r>
        <w:t>- 7 - il ne saurait non plus se contenter de renvoyer à une écriture ou aux pièces qu’il avait déposées devant l’instance précédente (TF 6B_1447/2022 du 14 mars 2023 consid. 1.1 et les références citées ; CREP 10 septembre 2024/643 consid. 1.2).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6B_1447/2022 précité ; CREP 10 septembre 2024/643 précité).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2.2.3</w:t>
      </w:r>
    </w:p>
    <w:p>
      <w:r>
        <w:t>Aux termes de l’art. 322novies CP (Code pénal suisse du 21 décembre 1937 ; RS 311.0), quiconque, en tant qu’employé, en tant qu’associé, en tant que mandataire ou en tant qu’autre auxiliaire d’autrui</w:t>
      </w:r>
    </w:p>
    <w:p>
      <w:r>
        <w:t>- 8 - dans le secteur privé, sollicite, se fait promettre ou accepte, en sa faveur ou en faveur d’un tiers, un avantage indu pour l’exécution ou l’omission d’un acte en relation avec son activité professionnelle ou commerciale et qui est contraire à ses devoirs ou dépend de son pouvoir d’appréciation est puni d’une peine privative de liberté de trois ans au plus ou d’une peine pécuniaire (al. 1). Dans les cas de peu de gravité, l’infraction n’est poursuivie que sur plainte (al. 2). Cette disposition et son pendant, l’art. 322octies CP, sont entrés en vigueur le 1er juillet 2016. Jusqu’alors, la corruption privée était réprimée par les art. 4a et 23 LCD (loi fédérale contre la concurrence déloyale du 19 décembre 1986 ; RS 241). Le Conseil fédéral a toutefois considéré que ces infractions devaient dorénavant être poursuivies d’office, à l’exception des cas de peu de gravité, et que leur champ d’application devait être clarifié. En particulier, il convenait de supprimer le lien entre corruption privée et concurrence déloyale (Message du Conseil fédéral du 30 avril 2014 concernant la modification du Code pénal ; FF 2014 pp. 3433, spéc. 3439 et 3441 ; TF 6B_280/2022 et 6B_287/2022 du 14 avril 2023, consid. 8.2). Les biens juridiques protégés par ces dispositions restent principalement la loyauté due par les employés, les mandants, etc. dans leurs activités commerciales et professionnelles, respectivement l’intérêt de l’employeur, du mandataire, etc. à l’exercice loyal et objectif des tâches confiées, ainsi que l’intérêt public à un libre marché, qui sera défini plus largement que la lutte contre la concurrence déloyale (FF 2014 pp. 3433, p. 3450).</w:t>
      </w:r>
    </w:p>
    <w:p>
      <w:r>
        <w:rPr>
          <w:b/>
        </w:rPr>
        <w:t>E. 2.3</w:t>
      </w:r>
    </w:p>
    <w:p>
      <w:r>
        <w:t>En l’espèce, le recourant dénonce la commission de l’infraction de corruption privée passive (art. 322novies al. 1 CP) par la D.________. Il n’argumente toutefois aucunement sur la titularité du bien juridique protégé par cette disposition, alors qu’il appartient au recourant d’établir sa qualité pour recourir – dont son intérêt juridique au sens de l’art. 382 CPP (TF 1B_304/2020 du 3 décembre 2020 consid. 2.1). Quoi qu’il en soit, dans l’hypothèse où un organe ou un employé de la D.________ aurait délibérément commis une fuite en transmettant le rapport concernant C.________ à la presse contre rémunération, seule la D.________ pourrait</w:t>
      </w:r>
    </w:p>
    <w:p>
      <w:r>
        <w:t>- 9 - être directement lésée par un tel comportement déloyal et contraire aux obligations contractuelles du contrevenant. Il s’ensuit que ce n’est que par effet reflexe que le recourant pourrait avoir subi un dommage résultant de l’absence d’engagement par l’équipe V.________. Dans ces circonstances, à défaut d’intérêt juridiquement protégé, le recourant n'a pas la qualité pour recourir au sens de l’art. 382 al. 1 CPP. Partant, le recours est irrecevable. Par surabondance, on relèvera que le recourant ne fait valoir aucun élément concret susceptible de contribuer à établir qu’un organe ou un employé de la D.________ aurait remis le rapport en question à un tiers externe, d’une part, et contre rémunération, d’autre part. Le recourant se contente en effet de suppositions non étayées et accuse désormais la D.________ de « diffamation évidente » (recours, p. 4), alors qu’il a déposé plainte pour corruption passive privée. En outre, il affirme de façon péremptoire que la rémunération par des journalistes est une hypothèse « logique et tout-à-fait probable dans le monde du [...] » (recours, p. 7). Dans ces conditions, les allégations du recourant ne sont pas de nature à remettre en cause les développements du Ministère public relatifs à l’absence d’indice de la commission de l’infraction reprochée en Suisse. Le recours est ainsi irrecevable sous cet angle également.</w:t>
      </w:r>
    </w:p>
    <w:p>
      <w:r>
        <w:rPr>
          <w:b/>
        </w:rPr>
        <w:t>E. 3</w:t>
      </w:r>
    </w:p>
    <w:p>
      <w:r>
        <w:t>En définitive, le recours de C.________ doit être déclaré irrecevable sans échange d’écritures (art. 390 al. 2 CPP). Vu le sort du recours, les frais de la procédure, constitués en l’espèce du seul émolument d'arrêt (art. 422 al. 1 CPP), par 990 fr. (art. 20 al. 1 TFIP [tarif des frais de procédure et indemnités en matière pénale du 28 septembre 2010 ; BLV 312.03.1]), seront mis à la charge du recourant, qui succombe (art. 428 al. 1 CPP). L'avance de frais de 770 fr. versée par le précité à titre de sûretés sera imputée sur les frais d'arrêt mis à sa charge (art. 7 TFIP), le solde en faveur de l’Etat s’élevant ainsi à 220 francs.</w:t>
      </w:r>
    </w:p>
    <w:p>
      <w:r>
        <w:t>- 10 - Par ces motifs, la Chambre des recours pénale prononce : I. Le recours est irrecevable. II. Les frais d’arrêt, par 990 fr. (neuf cent nonante francs), sont mis à la charge de C.________. III. Le montant de 770 fr. (sept cent septante francs) versé par le recourant à titre de sûretés est imputé sur les frais mis à sa charge au chiffre II ci-dessus, le solde dû à l’Etat s’élevant à 220 fr. (deux cent vingt francs). IV. L’arrêt est exécutoire. Le président : La greffière : Du Le présent arrêt, dont la rédaction a été approuvée à huis clos, est notifié, par l'envoi d'une copie complète, à : - Me Anne Schweikert (pour C.________), - Ministère public central, et communiqué à : - Mme la Procureure de l’arrondissement de l’Est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