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PE24.002455 vom 3. Dezember 2024</w:t>
      </w:r>
    </w:p>
    <w:p>
      <w:r>
        <w:t>VD Tribunal cantonal, 2024-12-03, FR</w:t>
      </w:r>
    </w:p>
    <w:p>
      <w:r>
        <w:rPr>
          <w:b/>
        </w:rPr>
        <w:t xml:space="preserve">Quelle: </w:t>
      </w:r>
      <w:r>
        <w:t>https://mcp.opencaselaw.ch/entscheid/vd_gerichte_PE24.002455</w:t>
      </w:r>
    </w:p>
    <w:p>
      <w:r>
        <w:t>FR: VD_GERICHTE PE24.002455 du 3 décembre 2024</w:t>
      </w:r>
    </w:p>
    <w:p>
      <w:r>
        <w:t>IT: VD_GERICHTE PE24.002455 del 3 dicembre 2024</w:t>
      </w:r>
    </w:p>
    <w:p>
      <w:pPr>
        <w:pStyle w:val="Heading2"/>
      </w:pPr>
      <w:r>
        <w:t>Erwägungen</w:t>
      </w:r>
    </w:p>
    <w:p>
      <w:r>
        <w:rPr>
          <w:b/>
        </w:rPr>
        <w:t>E. 12</w:t>
      </w:r>
    </w:p>
    <w:p>
      <w:r>
        <w:t>décembre 2016 consid. 2.1 et les références citées). Tant que les faits déterminants ne sont pas définitivement arrêtés, il suffit, pour admettre la qualité de victime au sens de l’art. 116 al. 1 CPP, que l’atteinte au sens de cette disposition soit rendue vraisemblable (ATF 143 IV 154 consid. 2.3.3 ; ATF 141 IV 1 consid. 3.1 ; TF 6B_655/2018 du 4 avril 2019 consid. 2.5.2 ; TF 1B_500/2017 précité consid. 3.2, CREP 6 avril 2021/144).</w:t>
      </w:r>
    </w:p>
    <w:p>
      <w:r>
        <w:t>- 6 - 2.2.3 D’après la jurisprudence, n’importe quelle atteinte à l’intégrité physique ou psychique ne suffit pas à conférer le statut de victime. L'atteinte subie doit revêtir une certaine importance. D'une manière générale, la notion de victime ne dépend pas de la qualification de l'infraction, mais de ses effets sur le lésé. Il faut déterminer si, au regard des conséquences de l'infraction en cause, le lésé pouvait légitimement invoquer le besoin de la protection prévue par la loi fédérale (ATF 129 IV 216 consid. 1.2.1). La gravité s’apprécie de manière objective et non en fonction de la sensibilité personnelle du lésé (ATF 131 IV 79 consid. 1.2 ; ATF 120 Ia 157 consid. 2d/bb). Les délits de peu de gravité, telles les voies de fait, qui ne causent pas de lésions, sont en principe exclus du champ d’application de la loi sur l’aide aux victimes d’infraction (LAVI ; RS 312.5) ; elles peuvent cependant suffire à fonder la qualité de victime si elles causent une atteinte notable à l’intégrité psychique du lésé (Perrier Depeursinge, in : Jeanneret et al. [éd.], Commentaire romand, Code de procédure pénale suisse, 2e éd., Bâle 2019, n. 7 ad art. 116 CPP et les références citées). 2.2.4 Selon l'art. 123 ch. 1 aCP (Code pénal suisse du 21 décembre 1937 ; RS 311.0), applicable en l’espèce dès lors que le nouveau droit n’est pas plus favorable au prévenu, est puni pour lésions corporelles simples celui qui, intentionnellement, aura fait subir à une personne une autre atteinte à l'intégrité corporelle ou à la santé que celles prévues à l'art. 122 CP. L’art. 123 ch. 2 al. 1 aCP précise que la poursuite aura lieu d'office et la peine sera une peine privative de liberté de trois ans au plus ou une peine pécuniaire si le délinquant a fait usage du poison, d'une arme ou d'un objet dangereux.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w:t>
      </w:r>
    </w:p>
    <w:p>
      <w:r>
        <w:t>- 7 -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ch. 2 al. 1 CP vise le cas où l’auteur des lésions corporelles simples a fait usage de poison, d’une arme ou d’un objet dangereux. Le caractère dangereux d'un objet se détermine en fonction de la façon dont il est utilisé. Ainsi, il a été admis qu’un porte-plume est un instrument dangereux si l’on frappe la victime au visage avec sa pointe, mais ne l’est pas si l’on s’en sert comme d’une baguette. En particulier, un objet sera considéré comme dangereux lorsqu'il est conçu de manière telle qu'utilisé comme arme, il est propre à provoquer les blessures que causerait une arme employée dans les mêmes conditions. De la façon dont il a été utilisé, l'objet doit être propre à générer un risque de lésion corporelle grave au sens de l'art. 122 CP (ATF 101 IV 285 ; ATF 96 IV 16 consid. 3b ; TF 6B_926/2022 du 8 juin 2023 consid. 1.2.3 ; TF 6B_40/2021 du 29 septembre 2021 consid. 3.2.3). La réalisation de l'infraction de lésions corporelles simples suppose, outre l'existence d'une atteinte telle que décrite ci-dessus, un lien de causalité naturelle et adéquate avec le comportement reproché au prévenu (TF 7B_510/2023 du 16 mai 2024 consid. 2.2.2.2 ; TF 6B_218/2019 du 27 juin 2019 consid. 1.1.2). Celui-ci doit de plus avoir agi intentionnellement, le dol éventuel étant suffisant (ATF 134 IV 26 consid. 4 ; ATF 119 IV 1 consid. 5 ; TF 6B_218/2019 précité consid. 1.2). 2.2.5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L'atteinte au sens de l'art. 126 CP présuppose une</w:t>
      </w:r>
    </w:p>
    <w:p>
      <w:r>
        <w:t>- 8 - certaine intensité (TF 6B_1191/2019 du 4 décembre 2019 consid. 3.1). Peuvent être qualifiées de voies de fait, une gifle, un coup de poing ou de pied, de fortes bourrades avec les mains ou les coudes (TF 6B_652/2023 du 11 décembre 2023 consid. 1.1.4 ; TF 6B_1064/2019 du 16 janvier 2020 consid. 2.2 ; TF 6B_386/2019 du 25 septembre 2019 consid. 2.1). 2.2.6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précité consid. 1.3 et l'arrêt cité ; TF 6B_782/2020 précité). Dans les cas limites, il faut tenir compte de l'importance de la douleur provoquée, afin de déterminer s'il s'agit de lésions corporelles simples ou de voies de fait (ATF 134 IV 189 précité).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précité ; TF 6B_782/2020 précité ; TF 6B_385/2020 précité). 2.3 En l’espèce, le recourant a souffert de contusions et semble même avoir été blessé à un stade qui dépasse le niveau d’une simple écorchure ou d’une meurtrissure. En effet, les photos produites montrent</w:t>
      </w:r>
    </w:p>
    <w:p>
      <w:r>
        <w:t>- 9 - qu’une des blessures paraît avoir été infligée à S.________ au moyen d’un objet qui aurait traversé sa veste et l’aurait blessé au flanc, occasionnant un saignement. Comme on l’a vu, tant que les faits déterminants ne sont pas définitivement arrêtés, il suffit, pour admettre la qualité de victime au sens de l’art. 116 al. 1 CPP, que l’atteinte au sens de cette disposition soit rendue vraisemblable, ce qui est le cas en l’espèce compte tenu des explications et des pièces produites (cf. notamment P. 4/4 et 4/6). En l’état, la qualité de victime doit être reconnue à S.________. 3. 3.1 A teneur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 cette disposition permet également d’octroyer l’assistance judiciaire à la victime, pour lui permettre de faire aboutir sa plainte pénale, si elle ne dispose pas de ressources suffisantes et que l’action pénale ne paraît pas vouée à l’échec (art. 136 al. 1 let. b CPP).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w:t>
      </w:r>
    </w:p>
    <w:p>
      <w:r>
        <w:t>- 10 - conditions cumulatives découlant de l'art. 29 al. 3 Cst., à savoir l'indigence, les chances de succès et le besoin d'être assisté (TF 7B_846/2023 du 9 janvier 2024 consid. 2.2 et les références citées ; TF 6B_1196/2022 du 26 janvier 2023 consid. 3.3 ; TF 1B_513/2022 du 6 décembre 2022 consid. 2.1). L’art. 136 CPP concerne toutefois spécifiquement les conclusions civiles (TF 7B_846/2023 précité ; TF 6B_1196/2022 précité ; TF 6B_1324/2021 du 20 septembre 2022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la procédure pénale ne nécessite en principe que des connaissances juridiques modestes pour la sauvegarde des droits du lésé ; il s'agit essentiellement d'annoncer ses éventuelles prétentions en réparation de son dommage et de son tort moral ainsi que de participer aux auditions des prévenus et des témoins éventuels et de poser, le cas échéant, des questions complémentaires ; un citoyen ordinaire devrait ainsi être en mesure de défendre lui-même ses intérêts de lésé dans une enquête pénale (ATF 123 I 145 consid. 2b/bb ; TF 1B_272/2023 du 7 juin 2023 consid. 2 et les références citées ; TF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1B_272/2023 précité ; TF 1B_18/2023 précité). La nécessité peut découler également des conséquences que l’issue de la procédure pourrait avoir pour le justiciable</w:t>
      </w:r>
    </w:p>
    <w:p>
      <w:r>
        <w:t>- 11 - ; plus les conséquences possibles de la procédure apparaissent lourdes pour le requérant, plus l’assistance d’un avocat apparaît justifiée. Il n’existe pas de règle unique (Harari/Corminboeuf Harari, in : Jeanneret et al. [éd.], Commentaire romand, Code de procédure pénale suisse, 2e éd., Bâle 2019, nn. 62, 62a et 63 ad art. 136 CPP). Comme vu ci-dessus, depuis le 1er janvier 2024, l’assistance judiciaire n’est plus accordée qu’à la seule partie plaignante pour lui permettre de faire valoir ses prétentions civiles, mais également à la victime « pour lui permettre de faire aboutir sa plainte pénale ». Selon le message (FF 2019 pp. 6351 ss, spéc 6386-6388) : «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 physique et psychique (TF 1B_355/2012 du 12 octobre 2012 consid. 5.5 ; Lieber, in : Donatsch/Hansjakob/Lieber, StPO Komm., ad art. 268 no 10 s.). Comme l’ont demandé certains participants à la consultation (Synthèse de la consultation, p. 9), il ne faudrait pas poser de conditions trop strictes quant à l’exigence de nécessité, par souci de protection efficace des victimes (voir aussi BSK StPO-Mazzuchelli/Postizzi, ad art. 136 no 17 s.). Celles-ci sont souvent apeurées et intimidées lorsqu’elles doivent faire face, sans l’assistance d’un avocat, à des prévenus bénéficiant d’une défense d’office. Cela peut entraîner une victimisation secondaire et inciter les victimes à éviter de faire une déposition ou à l’atténuer, ce qui nuit à la recherche de la vérité. Si une défense est accordée d’office au prévenu lorsque la partie civile est représentée par un avocat, conformément au principe de l’égalité entre les parties, la victime qui s’est constituée partie civile doit en contrepartie disposer de la même possibilité. Il ne semble pas non plus pertinent de refuser la demande au motif que les droits de la victime sont déjà défendus par le</w:t>
      </w:r>
    </w:p>
    <w:p>
      <w:r>
        <w:t>- 12 - ministère public, qui est responsable de l’exercice de l’action publique. En effet, cela viderait cette disposition de son sens. ». 3.2 En l’espèce, les conditions de l’indigence et des chances de succès de l’action civile ne sont pas remises en cause, puisque le Ministère public les a admises. Reste à examiner la condition posée par l’art. 136 al. 2 let c CPP. On relèvera en premier lieu que le recourant a dû faire appel à Me Antoine Golano pour recourir contre l’ordonnance de non-entrée en matière rendue par le Ministère public le 16 avril 2024, et que dans ce contexte, la Chambre de céans avait admis le recours et désigné Me Antoine Golano en qualité de conseil juridique gratuit pour la procédure de recours. Ensuite, sur le plan juridique, il s’agit effectivement d’une affaire peu complexe, dont la difficulté réside principalement dans l’établissement des faits, puisque le prévenu les conteste. Cependant, à l’aune de la nouvelle disposition qui stipule que l’assistance judiciaire doit permettre à la victime de faire aboutir sa plainte pénale, et du fait qu’il ne faut pas se montrer trop strict dans l’application de l’art. 136 al. 2 let. c CPP, il apparaît que les conditions d’octroi d’un conseil juridique gratuit sont réunies. En effet, S.________ ne parle pas le français, de sorte qu’il lui sera à l’évidence difficile de participer utilement aux mesures d’instruction qui seront mises en œuvre, notamment afin de déterminer si et, cas échéant, avec quel objet il a été blessé au flanc, étant au surplus relevé que B.________ conteste les faits qui lui sont reprochés. 4. Au vu de ce qui précède, le recours doit être admis et Me Antoine Golano désigné en qualité de conseil juridique gratuit en faveur de S.________ avec effet au 29 novembre 2023. L’ordonnance entreprise sera réformée en ce sens. Les frais de procédure, constitués en l’espèce du seul émolument d’arrêt, par 1’320 fr. (art. 20 al. 1 TFIP [tarif des frais de</w:t>
      </w:r>
    </w:p>
    <w:p>
      <w:r>
        <w:t>- 13 - procédure et indemnités en matière pénale du 28 septembre 2010 ; BLV 312.03.1]), seront laissés à la charge de l’Etat (art. 428 al. 4 CPP). Me Antoine Golano n’a pas requis sa désignation en qualité de conseil juridique gratuit pour la procédure de recours comme le commande l’art. 136 al. 3 CPP. Aucune indemnité d’office ne lui sera par conséquent allouée. En revanche, le recourant, qui obtient gain de cause et a procédé avec l’assistance d’un mandataire professionnel, a droit à l’octroi d’une indemnité pour les dépenses occasionnées par l’exercice raisonnable de ses droits pour la procédure de recours. Au vu de l’activité déployée par Me Antoine Golano et de la nature de l’affaire, on retiendra 3h00 d’activité d’avocat au tarif horaire de 300 francs. Les honoraires s’élèveront ainsi à 900 francs. Viennent s’y ajouter des débours forfaitaires à hauteur de 2 % des honoraires admis (art. 19 al. 2 TDC [tarif des dépens en matière civile du 23 novembre 2010 ; BLV 270.11.6]), applicable par renvoi de l’art. 26a al. 6 TFIP), par 18 fr., et la TVA au taux de 8,1 % sur le tout, par 70 fr. 70. L’indemnité s’élève ainsi à 989 fr. en chiffres arrondis. Elle sera laissée à la charge de l’Etat (art. 436 al. 3 CPP). Par ces motifs, la Chambre des recours pénale prononce : I. Le recours est admis. II. L’ordonnance du 23 septembre 2024 est réformée en ce sens que Me Antoine Golano est désigné en qualité de conseil juridique gratuit de S.________ avec effet au 29 novembre 2023. L’ordonnance est confirmée pour le surplus. III. Les frais de procédure, par 1’320 fr. (mille trois cent vingt francs), sont laissés à la charge de l’Etat.</w:t>
      </w:r>
    </w:p>
    <w:p>
      <w:r>
        <w:t>- 14 - IV. Une indemnité de 989 fr. (neuf cent huitante-neuf francs) est allouée à S.________ pour la procédure de recours, à la charge de l’Etat. V. L’arrêt est exécutoire. Le président : La greffière : Du Le présent arrêt, dont la rédaction a été approuvée à huis clos, est notifié, par l'envoi d'une copie complète, à : - Me Antoine Golano, avocat (pour S.________),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