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PE24.002381 vom 8. Oktober 2024</w:t>
      </w:r>
    </w:p>
    <w:p>
      <w:r>
        <w:t>VD Tribunal cantonal, 2024-10-08, FR</w:t>
      </w:r>
    </w:p>
    <w:p>
      <w:r>
        <w:rPr>
          <w:b/>
        </w:rPr>
        <w:t xml:space="preserve">Quelle: </w:t>
      </w:r>
      <w:r>
        <w:t>https://mcp.opencaselaw.ch/entscheid/vd_gerichte_PE24.002381</w:t>
      </w:r>
    </w:p>
    <w:p>
      <w:r>
        <w:t>FR: VD_GERICHTE PE24.002381 du 8 octobre 2024</w:t>
      </w:r>
    </w:p>
    <w:p>
      <w:r>
        <w:t>IT: VD_GERICHTE PE24.002381 del 8 ottobre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w:t>
      </w:r>
    </w:p>
    <w:p>
      <w:r>
        <w:t>- 5 -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16 octobre 2024/744 consid. 1.2). L’art. 385 al. 2 CPP, qui concrétise l’interdiction, pour les autorités, du formalisme excessif, ne s’applique pas aux actes déposés par une partie qui connaît les exigences de forme – à savoir notamment une partie assistée par un avocat (TF 7B_587/2023 précité).</w:t>
      </w:r>
    </w:p>
    <w:p>
      <w:r>
        <w:rPr>
          <w:b/>
        </w:rPr>
        <w:t>E. 1.3</w:t>
      </w:r>
    </w:p>
    <w:p>
      <w:r>
        <w:t>Interjeté dans le délai légal et dans les formes prescrites – sous réserve de ce qui sera précisé au considérant 2.3 (art. 385 al. 1 CPP) –, auprès de l’autorité compétente, par la partie plaignante qui a qualité pour recourir (art. 382 al. 1 CPP), le recours est recevable.</w:t>
      </w:r>
    </w:p>
    <w:p>
      <w:r>
        <w:rPr>
          <w:b/>
        </w:rPr>
        <w:t>E. 2.1</w:t>
      </w:r>
    </w:p>
    <w:p>
      <w:r>
        <w:t>Le recourant rappelle l’existence de l’infraction dont il a été la victime de la part du prévenu ainsi que la condamnation de ce dernier. Il invoque que le condamné « continue d’utiliser l’agression dans le but de le rendre méprisable aux yeux de tiers et de porter atteinte à son honneur » et souligne « [qu’]il a continué à poster des commentaires dénigrants (…) en lien avec cette agression ». Ces commentaires postés sur [...] seraient de nature à l’exposer au mépris, respectivement à l’hilarité de tiers. Il en déduit qu’il s’agirait de propos diffamatoires destinés à lui nuire, respectivement de propos injurieux. La qualification juridique n’étant pas claire, une ordonnance de non-entrée en matière ne pouvait pas être rendue.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w:t>
      </w:r>
    </w:p>
    <w:p>
      <w:r>
        <w:t>- 6 -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143 IV 241 consid. 2.2.1 ; ATF 138 IV 86 consid. 4.1.2 et les références citées ; TF 7B_76/2022 du 19 juillet 2024 consid. 3.1.1). La jurisprudence a confirmé la compétence du ministère public pour rendre, selon les circonstances, une ordonnance de non-entrée en matière, une ordonnance de classement ou une ordonnance pénale lorsqu'une infraction de diffamation (art. 173 CP) est en cause (cf. TF 7B_2/2022 du 24 octobre 2023 consid. 2.1.2 et les références citées).</w:t>
      </w:r>
    </w:p>
    <w:p>
      <w:r>
        <w:rPr>
          <w:b/>
        </w:rPr>
        <w:t>E. 2.2.2.1</w:t>
      </w:r>
    </w:p>
    <w:p>
      <w:r>
        <w:t>Aux termes de l'art. 173 ch. 1 CP (Code pénal suisse du 21 décembre 1937 ; RS 311.0),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 ATF 132 IV 112 consid. 2.1). Pour apprécier si une déclaration est attentatoire à l'honneur, il faut se fonder non pas sur le sens que lui donne la personne visée, mais sur une interprétation objective selon la signification qu'un destinataire non</w:t>
      </w:r>
    </w:p>
    <w:p>
      <w:r>
        <w:t>- 7 - prévenu doit, dans les circonstances d'espèce, lui attribuer (ATF 148 IV 409 consid. 2.3.2 ; ATF 145 IV 462 consid. 4.2.3;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2.2.2.2</w:t>
      </w:r>
    </w:p>
    <w:p>
      <w:r>
        <w:t>Se rend coupable d’injure quiconque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du 4 mars 2024 consid. 1.1 et les références citées).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Les infractions en droit suisse, 3e éd., vol. I, Berne 2010, n. 20 ad art. 177 CP).</w:t>
      </w:r>
    </w:p>
    <w:p>
      <w:r>
        <w:t>- 8 - Sur le plan subjectif, l’injure suppose l’intention. L’auteur doit vouloir ou accepter que son message soit attentatoire à l’honneur et qu’il soit communiqué à la victime (ATF 117 IV 270 consid. 2b).</w:t>
      </w:r>
    </w:p>
    <w:p>
      <w:r>
        <w:rPr>
          <w:b/>
        </w:rPr>
        <w:t>E. 2.2.2.3</w:t>
      </w:r>
    </w:p>
    <w:p>
      <w:r>
        <w:t>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 TF 6B_1120/2023 du 20 juin 2024 consid. 1.1.3).</w:t>
      </w:r>
    </w:p>
    <w:p>
      <w:r>
        <w:rPr>
          <w:b/>
        </w:rPr>
        <w:t>E. 2.3</w:t>
      </w:r>
    </w:p>
    <w:p>
      <w:r>
        <w:t>En l’espèce, le recourant se contente d’affirmer que les propos en cause l’exposent au mépris, au sens de la jurisprudence précitée, mais ne procède à aucune démonstration, en particulier à une analyse des expressions utilisées ou du sens général qui se dégage de celles-ci. Or, le premier message mentionne d’abord l’expression « [...] », sans viser le recourant lui-même, mais apparemment plutôt le prévenu (P. 4/3). Ensuite, il signifie en substance que le prévenu a livré [...] contre le recourant (P. 4/3). On cherche en vain en quoi ce message pourrait exposer le recourant au mépris en tant qu’être humain. Le fait que le recourant se soit senti blessé par ce message, et notamment par l’absence de remords dont il témoigne de la part de B.________, n’y change rien. En outre, le but poursuivi par ce dernier est également indifférent. Les infractions contre l’honneur ne sont pas censées sanctionner la bêtise ou le manque d’amendement ou de remords. Dès lors que les propos en cause ne sont pas diffamatoires, il est donc sans portée que le prévenu ait rédigé ce message dans le but de le blesser ou de susciter l’hilarité à ses dépens, comme le prétend le recourant. Quant au second message (« [...] »), il émane apparemment de « [...]», soit d’une société dont le prévenu est l’associé-gérant avec un</w:t>
      </w:r>
    </w:p>
    <w:p>
      <w:r>
        <w:t>- 9 - pouvoir de signature individuel (cf. P. 4/2). Il est donc possible de le rattacher à B.________. En revanche, l’interprétation objective de son sens – qui revient à dire « [...]» – ne saurait être attentatoire à l’honneur du recourant. Du reste, comme déjà dit, celui-ci ne l’explique pas, et si le propos en cause n’est pas diffamatoire, il ne suffit pas qu’il soit formulé de manière ironique, ou même qu’il ait suscité des « smileys » (ce qu’il n’est pas possible de déduire de la seule P. 4/2), pour remplir l’élément objectif de l’infraction de diffamation. Quant à l’injure, le recourant ne fournit aucune motivation en lien avec le raisonnement fait par le Ministère public selon lequel il n’y a pas de propos grossiers, vulgaires ou outrageants mais se contente de citer des auteurs (Favre/Pellet/Stoudmann, Code pénal annoté, 3e éd., 2011, n. 1.6 ad art. 177 CP), qui citent une jurisprudence du canton d’Argovie de 1983 selon laquelle le fait de qualifier un policer de « lavette » (« Schmierlappen ») serait injurieux. Or, il ne précise pas quel serait le jugement de valeur offensant proféré par le prévenu dans les messages précités, voire quelle serait l’injure formelle qui s’y trouverait (en particulier comparable à celle de « lavette »), si bien que sa contestation ne remplit pas les exigences de l’art. 385 al. 1 CPP et de la jurisprudence y relative, et qu’un délai ne saurait lui être imputé en application de l’art. 385 al. 2 CPP pour y remédier (cf. supra consid. 1.2). Pour les motifs développés plus haut au regard de l’infraction de diffamation, il n’y a de toute manière pas de propos laissant apparaître que le recourant est méprisable en tant qu’être humain, ni a fortiori d’atteinte excédant ce qui est acceptable. Mal fondés, les arguments du recourant ne peuvent qu’être rejetés dans la mesure où ils sont recevables. Au vu de ce qui précède, c’est à raison que le Ministère public a considéré que toute condamnation du prévenu pouvait être exclue et qu’une ordonnance de non-entrée en matière devait être rendue en application de l’art. 310 al. 1 let. a CPP.</w:t>
      </w:r>
    </w:p>
    <w:p>
      <w:r>
        <w:t>- 10 -</w:t>
      </w:r>
    </w:p>
    <w:p>
      <w:r>
        <w:rPr>
          <w:b/>
        </w:rPr>
        <w:t>E. 3</w:t>
      </w:r>
    </w:p>
    <w:p>
      <w:r>
        <w:t>Il résulte de ce qui précède que le recours, manifestement mal fondé, doit être rejeté dans la mesure où il est recevable, sans échange d’écritures (art. 390 al. 2 CPP), et l’ordonnance du 18 juin 2024 confirmée. Vu le sort du recours, les frais de la procédure, constitués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juin 2024 est confirmée. III. Les frais d’arrêt, par 990 fr. (neuf cent nonante francs), sont mis à la charge de A.________. IV. L’arrêt est exécutoire. Le président : La greffière : Du Le présent arrêt, dont la rédaction a été approuvée à huis clos, est notifié, par l'envoi d'une copie complète, à : - Me Vincent Demierre (pour A.________),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