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PE24.001479 vom 13. November 2024</w:t>
      </w:r>
    </w:p>
    <w:p>
      <w:r>
        <w:t>VD Tribunal cantonal, 2024-11-13, FR</w:t>
      </w:r>
    </w:p>
    <w:p>
      <w:r>
        <w:rPr>
          <w:b/>
        </w:rPr>
        <w:t xml:space="preserve">Quelle: </w:t>
      </w:r>
      <w:r>
        <w:t>https://mcp.opencaselaw.ch/entscheid/vd_gerichte_PE24.001479</w:t>
      </w:r>
    </w:p>
    <w:p>
      <w:r>
        <w:t>FR: VD_GERICHTE PE24.001479 du 13 novembre 2024</w:t>
      </w:r>
    </w:p>
    <w:p>
      <w:r>
        <w:t>IT: VD_GERICHTE PE24.001479 del 13 novembre 2024</w:t>
      </w:r>
    </w:p>
    <w:p>
      <w:pPr>
        <w:pStyle w:val="Heading2"/>
      </w:pPr>
      <w:r>
        <w:t>Erwägungen</w:t>
      </w:r>
    </w:p>
    <w:p>
      <w:r>
        <w:rPr>
          <w:b/>
        </w:rPr>
        <w:t>E. 1.1</w:t>
      </w:r>
    </w:p>
    <w:p>
      <w:r>
        <w:t>Les parties peuvent attaquer une ordonnance de classement rendue par le Ministère public en application des art. 319ss CPP (Code de procédure pénale suisse du 5 octobre 2007 ; RS 312.0)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1.3</w:t>
      </w:r>
    </w:p>
    <w:p>
      <w:r>
        <w:t>Interjeté dans le délai légal, auprès de l’autorité compétente, par une prévenue qui a la qualité pour recourir (art. 382 al. 1 CPP), le recours est recevable. Dès lors que le recours porte uniquement sur les conséquences économiques accessoires d’une décision de classement, soit le refus d’allouer à la recourante une indemnité au sens de l’art. 429 CPP, et que le montant litigieux est de 3'593 fr., il relève de la compétence d’un membre de la Chambre des recours pénale statuant comme juge unique.</w:t>
      </w:r>
    </w:p>
    <w:p>
      <w:r>
        <w:rPr>
          <w:b/>
        </w:rPr>
        <w:t>E. 2.1</w:t>
      </w:r>
    </w:p>
    <w:p>
      <w:r>
        <w:t>La recourante conteste le refus du Ministère public de lui octroyer toute indemnité, invoquant une violation de l’art. 429 CPP. Elle fait valoir que bien qu’elle ne conteste pas suivre un parcours</w:t>
      </w:r>
    </w:p>
    <w:p>
      <w:r>
        <w:t>- 5 - universitaire, ses études supérieures en littérature ne lui confèrent pas de compétences juridiques particulières. Son absence d’antécédents judiciaires prouve qu’elle n’est pas habituée à procéder en matière pénale. Dite procédure interviendrait dans un contexte particulièrement houleux de conflit de voisinage. Les faits reprochés constitueraient un délit et l’assistance d’un avocat serait en principe admise pour ce genre d’infraction. Elle allègue que la procureure a omis de prendre en considération qu’elle avait été entendue à deux reprises, ainsi qu’un témoin, et que son conseil avait assisté à dites auditions. Enfin, les parties adverses auraient également été assistées et la recourante aurait fait l’objet d’un mandat de perquisition de son téléphone portable, mesure d’investigation particulièrement intrusive, nécessitant des explications et des conseils d’un homme de loi.</w:t>
      </w:r>
    </w:p>
    <w:p>
      <w:r>
        <w:rPr>
          <w:b/>
        </w:rPr>
        <w:t>E. 2.2</w:t>
      </w:r>
    </w:p>
    <w:p>
      <w:r>
        <w:t>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n’opèrant aucune distinction entre l’indemnité allouée et les honoraires dus en cas de défense privée. L’allocation d’une indemnité pour frais de défense selon cette disposition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1057ss, spéc. 1312 ch. 2.10.3.1 ; ATF 142 IV 45 consid. 2.1 ; TF 7B_56/2022 du 20 septembre 2023 consid. 3.1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w:t>
      </w:r>
    </w:p>
    <w:p>
      <w:r>
        <w:t>- 6 - en cause. On ne peut pas partir du principe qu’en matière de contravention, le prévenu doit supporter en général seul ses frais de défense (ATF 138 IV 197 consid. 2.3.5, JdT 2013 IV 184).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 TF 6B_938/2018 du 28 novembre 2018 consid. 1.1).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précité). Le recours à un avocat apparaît raisonnable en cas d’opposition à une ordonnance pénale avec audition du prévenu (ATF 142 IV 45 consid. 2.2). L’indemnité doit intervenir même si le prévenu bénéficie d’une protection juridique (ATF 142 IV 42 consid. 2, JdT 2016 IV 280).</w:t>
      </w:r>
    </w:p>
    <w:p>
      <w:r>
        <w:rPr>
          <w:b/>
        </w:rPr>
        <w:t>E. 2.3</w:t>
      </w:r>
    </w:p>
    <w:p>
      <w:r>
        <w:t>En l’espèce, la recourante a bénéficié d’un classement et les frais relatifs à cette décision ont été laissés à la charge de l’Etat. Une indemnité lui était dès lors en principe due en application de l'art. 429 al. 1 let. a CPP si l’assistance d’un avocat devait être considérée comme raisonnable. A cet égard, il faut constater que la cause n’était certes pas compliquée mais qu’elle s’inscrit dans un contexte de voisinage qui paraît durer. On ne peut ainsi pas retenir qu’elle ne présentait aucune difficulté pour la prévenue, non habituée à procéder. A cela s’ajoute que l’instruction pénale ouverte concernait la violation du domaine secret ou du domaine privé au moyen d’un appareil de prise de vue (art. 179quater CP [Code pénal suisse du 21 décembre 1937 ; RS 311.0]), soit un délit, que l’intéressée a été entendue à deux reprises, ainsi qu’un témoin, et que son téléphone portable a fait l’objet d’une perquisition. Enfin, les parties adverses étaient également assistées.</w:t>
      </w:r>
    </w:p>
    <w:p>
      <w:r>
        <w:t>- 7 - Au vu de ce qui précède, le recours à un avocat s’avérait raisonnable et justifié. C’est donc à tort que le Ministère public a refusé à la recourante, prévenue bénéficiant d’un classement avec frais à la charge de l’Etat, toute indemnité au sens de l’art. 429 CPP. Afin de garantir le principe de la double instance, il convient que le Ministère public lui alloue cette indemnité sur la base de la liste des opérations produite le 19 septembre 2024 qu’il appréciera (cf. CREP 2 septembre 2024/624).</w:t>
      </w:r>
    </w:p>
    <w:p>
      <w:r>
        <w:rPr>
          <w:b/>
        </w:rPr>
        <w:t>E. 3</w:t>
      </w:r>
    </w:p>
    <w:p>
      <w:r>
        <w:t>En définitive, le recours doit être admis et le chiffre II du dispositif de l’ordonnance entreprise annulé, l’ordonnance, non contestée par ailleurs, étant maintenue pour le surplus. Le dossier de la cause sera renvoyé au Ministère public pour qu’il complète le dispositif de l’ordonnance attaquée en statuant sur la prétention fondée sur l’art. 429 CPP. La recourante qui obtient gain de cause et qui a procédé avec l’assistance d’un avocat de choix, a droit à une indemnité pour les dépenses occasionnées par la procédure de recours (art. 436 CPP). Me Jeremy Chassot a produit une liste d’opérations faisant état de 3 heures et</w:t>
      </w:r>
    </w:p>
    <w:p>
      <w:r>
        <w:rPr>
          <w:b/>
        </w:rPr>
        <w:t>E. 6</w:t>
      </w:r>
    </w:p>
    <w:p>
      <w:r>
        <w:t>minutes d’activité, au tarif horaire de 350 fr., pour la procédure de recours. La durée invoquée est trop élevée et sera ramenée à 1 heure et 30 minutes, au tarif horaire de 300 fr. (art. 26a al. 3 TFIP [tarif des frais de procédure et indemnités en matière pénale du 28 septembre 2010 ; BLV 312.03.1], soit 450 francs. Viennent s’ajouter des débours forfaitaires à hauteur de 2 % des honoraires admis, soit 9 fr. (art. 3bis al. 1 RAJ [règlement du 7 décembre 2010 sur l'assistance judiciaire en matière civile ; BLV 211.02.3], applicable par renvoi de l’art. 26b TFIP), ainsi que la TVA à 8,1 %, par 37 fr. 17, soit au total à 496 fr. en chiffres arrondis. Cette indemnité sera laissée à la charge de l’Etat (art. 436 al. 2 CPP). Vu le sort du recours, les frais d’arrêt, par 630 fr. (art. 20 al. 1 TFIP), seront laissés à la charge de l’Etat (art. 428 al. 4 CPP).</w:t>
      </w:r>
    </w:p>
    <w:p>
      <w:r>
        <w:t>- 8 - Par ces motifs, le juge unique prononce : I. Le recours est admis. II. Le chiffre II du dispositif de l’ordonnance du 18 octobre 2024 est annulé. L’ordonnance est maintenue pour le surplus. III. Le dossier de la cause est renvoyé au Ministère public de l’arrondissement du Nord vaudois pour qu’il procède dans le sens des considérants. IV. Une indemnité de 496 fr. (quatre cent nonante-six francs) est allouée à K.________ pour la procédure de recours, à la charge de l’Etat. V. Les frais d’arrêt, par 630 fr. (six cent trente francs), sont laissés à la charge de l’Etat. VI. L’arrêt est exécutoire. Le juge unique : La greffière : Du Le présent arrêt, dont la rédaction a été approuvée à huis clos, est notifié, par l'envoi d'une copie complète, à : - Me Jeremy Chassot (pour K.________), - Me Joël Crettaz (pour A.C.________, B.C.________ et C.C.________), - Ministère public central, et communiqué à : - Mme la Procureure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