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PE24.001319 vom 9. September 2025</w:t>
      </w:r>
    </w:p>
    <w:p>
      <w:r>
        <w:t>VD Tribunal cantonal, 2025-09-09, FR</w:t>
      </w:r>
    </w:p>
    <w:p>
      <w:r>
        <w:rPr>
          <w:b/>
        </w:rPr>
        <w:t xml:space="preserve">Quelle: </w:t>
      </w:r>
      <w:r>
        <w:t>https://mcp.opencaselaw.ch/entscheid/vd_gerichte_PE24.001319</w:t>
      </w:r>
    </w:p>
    <w:p>
      <w:r>
        <w:t>FR: VD_GERICHTE PE24.001319 du 9 septembre 2025</w:t>
      </w:r>
    </w:p>
    <w:p>
      <w:r>
        <w:t>IT: VD_GERICHTE PE24.001319 del 9 settembre 2025</w:t>
      </w:r>
    </w:p>
    <w:p>
      <w:pPr>
        <w:pStyle w:val="Heading2"/>
      </w:pPr>
      <w:r>
        <w:t>Erwägungen</w:t>
      </w:r>
    </w:p>
    <w:p>
      <w:r>
        <w:rPr>
          <w:b/>
        </w:rPr>
        <w:t>E. 1</w:t>
      </w:r>
    </w:p>
    <w:p>
      <w:r>
        <w:t>Née en ***, la prévenue B.________ a suivi ses écoles à Q***, avant d’accomplir un apprentissage de courtepointière couronné par un CFC. Formée dans divers magasins, elle a travaillé en tant que décoratrice d’intérieur jusqu’au 12 novembre 2024, avant d’être opérée d’un genou. Elle a subi l’implantation d’une prothèse et le rétablissement a été plus long que prévu. Elle a bénéficié de l’aide sociale jusqu’à la fin du mois de septembre 2025, à hauteur de 2'635 fr. par mois ; sa prime d’assurance- maladie, d’un montant de 546 fr., était en outre prise en charge par les services sociaux. Actuellement au chômage, elle perçoit des indemnités d’un montant d’environ 3'200 fr. par mois. Elle est en incapacité de travail du fait d’un problème de hanche jusqu’à la fin du mois de février 2026. Elle n’a pas de charges particulières, hormis un crédit-bail de 254 fr., le téléphone, l’électricité et des frais de dentiste pour un traitement en cours ensuite d’une infection. Elle vit seule. Elle n’a personne à charge, mais entretient des animaux de compagnie. Le casier judiciaire de la prévenue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w:t>
      </w:r>
    </w:p>
    <w:p>
      <w:r>
        <w:rPr>
          <w:b/>
        </w:rPr>
        <w:t>E. 2.1</w:t>
      </w:r>
    </w:p>
    <w:p>
      <w:r>
        <w:t>A Q***, sur la R*** ***, le 8 décembre 2023, entre 20 h 30 et 21 h 00, une altercation est survenue entre B.________ et sa voisine, C.________, avec laquelle elle ne s’entendait plus de longue date. Persuadée que sa voisine avait endommagé un phare de sa voiture, la prévenue a vu rouge et a empoigné C.________ par la veste – ses mains s’étant à cette occasion posées dans la région du cou de la plaignante – avant de la secouer durant plusieurs secondes. Elle lui a alors dit « toi, je vais te buter », avant de la frapper à la pommette droite et au thorax, de la poursuivre jusque vers la porte d’entrée de l’immeuble, de la bousculer à nouveau alors qu’elle était contre le mur près des interphones et de lui tirer les cheveux. L’assaillante 13J010</w:t>
      </w:r>
    </w:p>
    <w:p>
      <w:r>
        <w:t>- 9 - n’a mis fin à ses actes que lorsque la plaignante s’est mise à appeler « au secours ». C.________ a déposé plainte pénale le 10 janvier 2024 (P. 4/0).</w:t>
      </w:r>
    </w:p>
    <w:p>
      <w:r>
        <w:rPr>
          <w:b/>
        </w:rPr>
        <w:t>E. 2.1.2</w:t>
      </w:r>
    </w:p>
    <w:p>
      <w:r>
        <w:t>;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6B_129/2025 du 11 septembre 2025 consid. 2.1.2 ; TF 6B_732/2021 du 24 février 2022 consid. 2.3 ; TF 6B_257/2021 du 22 décembre 2021 consid. 1.2).</w:t>
      </w:r>
    </w:p>
    <w:p>
      <w:r>
        <w:rPr>
          <w:b/>
        </w:rPr>
        <w:t>E. 2.2</w:t>
      </w:r>
    </w:p>
    <w:p>
      <w:r>
        <w:t>C.________ a consulté le service des urgences du Centre hospitalier de S*** le 11 décembre 2023, puis l’Unité de médecine des violences de l’Espace Santé Rennaz le 15 décembre 2023 à 13 h 10. Selon un constat médical établi par cet établissement le 15 décembre 2023, elle a souffert de douleurs à la palpation laryngée et à la déglutition, d’une incapacité à avaler des aliments solides, de « quelques nausées », d’ « un hématome en cours de résorption au sternum », de « multiples griffures aux épaules et au dos », d’ une ecchymose « en regard du rebord orbitaire inférieur droit », d’une ecchymose et d’une dermabrasion au thorax, de discrètes rougeurs au niveau du cou et de l’avant-bras droit, ainsi que de dermabrasions au thorax, au dos et aux bras (P. 5/0). Selon un rapport établi le 15 février 2024 par le service des urgences de l’Hôpital Riviera-Chablais, au moment des faits, il existait un « [r]isque de lésion cérébrale si obstruction complète pendant un temps prolongé ». Cela étant, l’examen neurologique effectué au moment de l’examen clinique aux urgences s’est avéré « normal ». Il n’a par ailleurs pas pu être évalué si la patiente risquait des dommages permanents (P. 10). En dro 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 13J010</w:t>
      </w:r>
    </w:p>
    <w:p>
      <w:r>
        <w:t>- 10 -</w:t>
      </w:r>
    </w:p>
    <w:p>
      <w:r>
        <w:rPr>
          <w:b/>
        </w:rPr>
        <w:t>E. 3</w:t>
      </w:r>
    </w:p>
    <w:p>
      <w:r>
        <w:t>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13J010</w:t>
      </w:r>
    </w:p>
    <w:p>
      <w:r>
        <w:t>- 11 -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w:t>
      </w:r>
    </w:p>
    <w:p>
      <w:r>
        <w:rPr>
          <w:b/>
        </w:rPr>
        <w:t>E. 4</w:t>
      </w:r>
    </w:p>
    <w:p>
      <w:r>
        <w:t>Invoquant une constatation erronée des faits, le principe in dubio pro reo, et la violation de l’art. 123 CP, l’appelante conteste l’appréciation du premier juge selon laquelle les lésions constatées seraient globalement compatibles avec le récit de la plaignante, s’agissant des coups reçus. L’appelante soutient que la plaignante n’avait eu de cesse de changer de version et qu’elle n’avait consulté l’Unité de médecine des violences que sept jours après les faits. Toujours d’après elle, le Tribunal de police aurait dès lors dû se demander ce qui avait pu se passer durant ce laps de temps. Selon l’appelante, il faudrait ajouter foi à ses propres déclarations, constantes en ce qu’elle a toujours nié avoir donné le moindre coup à la plaignante et avoir menacé celle-ci. Elle se prévaut en particulier de deux témoignages. D’abord, l’appointé de police F.________, entendu à l’audience de première instance, a expliqué que la plaignante, le jour des faits, n’avait évoqué qu’une empoignade, soit tout au plus des voies des fait et des injures (jugement, pp. 5-7). Ensuite, la voisine G.________, également entendue à l’audience de première instance, a rapporté n’avoir jamais vu des lésions sur la plaignante (jugement, pp. 13-15). Enfin, toujours selon l’appelante, puisque la plaignante n’est pas crédible s’agissant des lésions corporelles dont elle dit avoir été victime, il n’y aurait pas davantage de raison de la croire s’agissant des menaces également dénoncées.</w:t>
      </w:r>
    </w:p>
    <w:p>
      <w:r>
        <w:rPr>
          <w:b/>
        </w:rPr>
        <w:t>E. 5.1</w:t>
      </w:r>
    </w:p>
    <w:p>
      <w:r>
        <w:t>L’art. 10 CPP dispose que toute personne est présumée innocente tant qu’elle n’est pas condamnée par un jugement entré en force (al. 1). Le tribunal apprécie librement les preuves recueillies selon l’intime 13J010</w:t>
      </w:r>
    </w:p>
    <w:p>
      <w:r>
        <w:t>- 12 -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Code de procédure pénale suisse, Commentaire romand, 2e éd., Bâle 2019, n. 34 ad art. 10 CPP).</w:t>
      </w:r>
    </w:p>
    <w:p>
      <w:r>
        <w:rPr>
          <w:b/>
        </w:rPr>
        <w:t>E. 5.2</w:t>
      </w:r>
    </w:p>
    <w:p>
      <w:r>
        <w:t>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13J010</w:t>
      </w:r>
    </w:p>
    <w:p>
      <w:r>
        <w:t>- 13 - mesure, la présomption d’innocence se confond avec l’interdiction générale de l’arbitraire, prohibant une appréciation reposant sur des preuves inadéquates ou sans pertinence (ATF 146 IV 88 consid. 1.3.1 ; ATF 145 IV 154 consid. 1.1 ; ATF 144 IV 345 consid. 2.2.3.3, JdT 2019 IV 147).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 Perrier Depeursinge [éd.], op. cit., n. 19 ad art. 398 CPP).</w:t>
      </w:r>
    </w:p>
    <w:p>
      <w:r>
        <w:rPr>
          <w:b/>
        </w:rPr>
        <w:t>E. 5.3</w:t>
      </w:r>
    </w:p>
    <w:p>
      <w:r>
        <w:t>Les déclarations de la victime constituent un élément de preuve. Le juge doit, dans l'évaluation globale de l'ensemble des éléments probatoires rassemblés au dossier, les apprécier librement (TF 6B_802/2021 du 10 février 2022 consid. 1.1 ; TF 6B_366/2021 du 26 janvier 2022 consid.</w:t>
      </w:r>
    </w:p>
    <w:p>
      <w:r>
        <w:rPr>
          <w:b/>
        </w:rPr>
        <w:t>E. 6</w:t>
      </w:r>
    </w:p>
    <w:p>
      <w:r>
        <w:t>Selon l’art. 123 ch.1 CP, se rend coupable de lésions corporelles simples quiconque, intentionnellement, fait subir à une personne une autre atteinte à l’intégrité corporelle ou à la santé que celles prévues à l'art. 122 CP. L'art. 123 CP réprime les lésions du corps humain ou de la santé qui ne peuvent être qualifiées de graves au sens de l'art. 122 CP. Cette 13J010</w:t>
      </w:r>
    </w:p>
    <w:p>
      <w:r>
        <w:t>- 14 -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 TF 6B_562/2025 du 25 novembre 2025 consid. 1.1.3 ; TF 6B_1257/2023 du 18 juin 2024 consid. 2.1.1).</w:t>
      </w:r>
    </w:p>
    <w:p>
      <w:r>
        <w:rPr>
          <w:b/>
        </w:rPr>
        <w:t>E. 7.1</w:t>
      </w:r>
    </w:p>
    <w:p>
      <w:r>
        <w:t>G.________ n’est pas seulement une voisine mais aussi une cousine éloignée et amie de la prévenue, de sorte que son témoignage n’a pas de valeur probante. La prévenue a admis avoir empoigné la plaignante par le col de sa doudoune, l’avoir secouée, et bousculée. En revanche, elle n’a jamais admis lui avoir asséné de coup. Le policier a mentionné aussi uniquement, dans le journal de police (P. 6) et son témoignage (jugement, p. 5), des voies de fait sous la forme d’une empoignade.</w:t>
      </w:r>
    </w:p>
    <w:p>
      <w:r>
        <w:rPr>
          <w:b/>
        </w:rPr>
        <w:t>E. 7.2</w:t>
      </w:r>
    </w:p>
    <w:p>
      <w:r>
        <w:t>La plaignante n’a pas été jugée crédible s’agissant de la gravité de l’incident, qu’elle a clairement exagéré en affirmant avoir perdu connaissance et s’être urinée dessus. Il y a aussi des petites variations dans sa version des faits ; ainsi, sa plainte (P. 4) évoque un deuxième coup au visage, soit à la mâchoire, geste que la victime ne mentionnera cependant plus ultérieurement. Pour autant, les faits dénoncés sont relativement 13J010</w:t>
      </w:r>
    </w:p>
    <w:p>
      <w:r>
        <w:t>- 15 - constants. En effet, la plaignante a rapporté avoir reçu un coup de poing à la pommette, avoir été frappée au thorax, avoir été étranglée à plusieurs reprises, avoir été plaquée contre des murs, ainsi que tirée par les cheveux et secouée. Elle a consulté les urgences trois jours après les faits et l’Unité de médecine des violences une semaine après l’altercation. Le rapport de l’Unité de médecine des violences mentionne en substance une ecchymose sous l’œil et une autre au thorax, ainsi que, pour le surplus, des rougeurs et dermabrasions au cou, au thorax, au dos, et aux bras. Ces constats médicaux permettent de confirmer la version de la plaignante d’un coup à la pommette. La sensation d’étranglement (et peut-être d’être tirée par les cheveux) et les autres menues lésions s’expliquent par les gestes admis par la prévenue, laquelle a reconnu avoir saisi par le col, secoué et bousculé la plaignante. Les faits retenus par le premier juge doivent donc être tenus pour avérés pour ce qui est des lésions corporelles.</w:t>
      </w:r>
    </w:p>
    <w:p>
      <w:r>
        <w:rPr>
          <w:b/>
        </w:rPr>
        <w:t>E. 7.3</w:t>
      </w:r>
    </w:p>
    <w:p>
      <w:r>
        <w:t>Au surplus, les menaces de mort, notamment, étaient l’objet de l’appel à la police (P. 6). Elles doivent également être tenues pour avérées, dans la mesure où la prévenue a admis avoir été excédée par la plaignante, qu’elle soupçonnait d’avoir commis des dommages sur sa voiture. En outre, on ne peut pas dire que la plaignante ne serait pas crédible du tout (cf. ci- dessus) et que l’on ne pourrait, partant, rien retenir de ce qu’elle affirme. Les premiers juges n’ont dès lors pas abusé de leur pouvoir d’appréciation en retenant ces menaces.</w:t>
      </w:r>
    </w:p>
    <w:p>
      <w:r>
        <w:rPr>
          <w:b/>
        </w:rPr>
        <w:t>E. 7.4</w:t>
      </w:r>
    </w:p>
    <w:p>
      <w:r>
        <w:t>En définitive, les faits retenus l’ont entièrement été à bon escient. L’altercation ayant causé deux hématomes, c’est à juste titre que l’infraction de lésions corporelles simples a été retenue.</w:t>
      </w:r>
    </w:p>
    <w:p>
      <w:r>
        <w:rPr>
          <w:b/>
        </w:rPr>
        <w:t>E. 8.1</w:t>
      </w:r>
    </w:p>
    <w:p>
      <w:r>
        <w:t>L’appelante ne conteste la peine que dans la mesure où elle conclut à son acquittement. Elle doit être examinée d’office.</w:t>
      </w:r>
    </w:p>
    <w:p>
      <w:r>
        <w:rPr>
          <w:b/>
        </w:rPr>
        <w:t>E. 8.2.1</w:t>
      </w:r>
    </w:p>
    <w:p>
      <w:r>
        <w:t>Aux termes de l'art. 47 CP, le juge fixe la peine d'après la culpabilité de l'auteur. Il prend en considération les antécédents et la 13J010</w:t>
      </w:r>
    </w:p>
    <w:p>
      <w:r>
        <w:t>- 16 -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13J010</w:t>
      </w:r>
    </w:p>
    <w:p>
      <w:r>
        <w:t>- 17 - sanctionner chacune des autres infractions, en tenant là aussi compte de toutes les circonstances y relatives (ATF 144 IV 313 consid. 1.1.2 ; TF 6B_984/2020 du 4 mars 2021 consid. 3.1 ; TF 6B_776/2019 du 20 novembre 2019 consid. 4.1).</w:t>
      </w:r>
    </w:p>
    <w:p>
      <w:r>
        <w:rPr>
          <w:b/>
        </w:rPr>
        <w:t>E. 8.2.3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8.3</w:t>
      </w:r>
    </w:p>
    <w:p>
      <w:r>
        <w:t>En l’espèce, les premiers juges ont retenu, à charge, que la prévenue avait cédé à la colère, ne reprenant ses esprits que lorsque sa victime avait appelé au secours. En cours d’enquête ainsi qu’aux débats, 13J010</w:t>
      </w:r>
    </w:p>
    <w:p>
      <w:r>
        <w:t>- 18 - elle avait minimisé les faits, sans prononcer un mot d’excuse envers la plaignante, qu’elle semblait rendre responsable de l’altercation. En outre, elle s’était exprimée de manière dénigrante à son sujet, alléguant par exemple qu’elle « ne touch[ait] pas ce genre de personnes » (PV aud. 3, l. 71), ou que la plaignante s’était elle-même occasionnée les lésions constatées par l’Unité de médecine des violences. Enfin, les infractions étaient en concours. Ces éléments sont pertinents. A décharge, il peut être tenu compte de la situation personnelle et sociale difficile de l’appelante. L’infraction la plus grave à réprimer, soit celle de lésions corporelles simples, doit l’être d’une peine pécuniaire de 80 jours-amende ; pour réprimer les menaces, cette peine sera accrue de 40 jours-amende par l’effet d’aggravation découlant du concours d’infractions. Arrêtée à 120 jours-amende, la peine prononcée est ainsi adéquate au regard de ces éléments d’appréciation. Elle sera donc confirmée. Le pronostic à poser selon l’art. 42 al. 1 CP n’étant pas défavorable, les parties ayant choisi de s’éviter depuis lors, la peine doit être assortie du sursis, pour le délai d’épreuve légal minimal, soit deux ans. Au surplus, la quotité du jour- amende tient compte de la situation personnelle et économique de l’auteur (art. 34 al. 2 CP).</w:t>
      </w:r>
    </w:p>
    <w:p>
      <w:r>
        <w:rPr>
          <w:b/>
        </w:rPr>
        <w:t>E. 9.1</w:t>
      </w:r>
    </w:p>
    <w:p>
      <w:r>
        <w:t>Au vu de ce qui précède, l’appel doit être rejeté et le jugement entrepris confirmé.</w:t>
      </w:r>
    </w:p>
    <w:p>
      <w:r>
        <w:rPr>
          <w:b/>
        </w:rPr>
        <w:t>E. 9.2</w:t>
      </w:r>
    </w:p>
    <w:p>
      <w:r>
        <w:t>Le défenseur d’office de l’appelante a produit en audience une liste d’opérations (P. 68) dont il n’y a pas lieu de s’écarter si ce n’est pour ajouter le temps consacré à l’audience d’appel, dont la liste fait abstraction. C’est ainsi une indemnité de 2'197 fr. 15 qui sera allouée à Me Laurent Kohli pour la procédure d’appel, correspondant à dix heures et 25 minutes d’activité d’avocat au tarif horaire de 180 fr., à 37 fr. 50 de débours au taux forfaitaire de 2 % (cf. art. 3bis al. 1 RAJ [règlement sur l’assistance judiciaire en matière civile du 7 décembre 2010 ; BLV 211.02.3], applicable par renvoi 13J010</w:t>
      </w:r>
    </w:p>
    <w:p>
      <w:r>
        <w:t>- 19 - de l’art. 26b TFIP [tarif des frais de procédure et indemnités en matière pénale du 28 septembre 2010 ; BLV 312.03.1]), à 120 fr. de vacation et à 164 fr. 65 de TVA. Le conseil juridique gratuit de la partie plaignante a produit en audience une liste d’opérations (P. 66) dont il n’y a pas lieu de s’écarter, si ce n’est pour adapter le temps consacré à l’audience d’appel, estimé à deux heures. C’est ainsi une indemnité de 1'198 fr. 15 qui sera allouée à Me Robin Chappaz pour la procédure d’appel, correspondant à cinq heures et 23 minutes d’activité d’avocat au tarif horaire de 180 fr., à 19 fr. 38 de débours au taux forfaitaire de 2 %, à 120 fr. de vacation et à 89 fr. 80 de TVA. Vu l’issue de la cause, les frais de la procédure d’appel, par 5'225 fr. 30, constitués des émoluments de jugement et d’audience, par 1’830 fr. (art. 21 al. 1 et 2 TFIP [tarif des frais de procédure et indemnités en matière pénale du 28 septembre 2010 ; BLV 312.03.1]), ainsi que des indemnités précitées, seront mis à la charge de l’appelante, qui succombe entièrement sur ses conclusions d’appel (art. 428 al. 1 CPP). L’appelante sera tenue de rembourser à l’Etat les indemnités allouées à son défenseur d’office et au conseil juridique gratuit de la partie plaignante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