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PE24.001311 vom 3. Dezember 2024</w:t>
      </w:r>
    </w:p>
    <w:p>
      <w:r>
        <w:t>VD Tribunal cantonal, 2024-12-03, FR</w:t>
      </w:r>
    </w:p>
    <w:p>
      <w:r>
        <w:rPr>
          <w:b/>
        </w:rPr>
        <w:t xml:space="preserve">Quelle: </w:t>
      </w:r>
      <w:r>
        <w:t>https://mcp.opencaselaw.ch/entscheid/vd_gerichte_PE24.001311</w:t>
      </w:r>
    </w:p>
    <w:p>
      <w:r>
        <w:t>FR: VD_GERICHTE PE24.001311 du 3 décembre 2024</w:t>
      </w:r>
    </w:p>
    <w:p>
      <w:r>
        <w:t>IT: VD_GERICHTE PE24.001311 del 3 dicembre 2024</w:t>
      </w:r>
    </w:p>
    <w:p>
      <w:pPr>
        <w:pStyle w:val="Heading2"/>
      </w:pPr>
      <w:r>
        <w:t>Erwägungen</w:t>
      </w:r>
    </w:p>
    <w:p>
      <w:r>
        <w:rPr>
          <w:b/>
        </w:rPr>
        <w:t>E. 5.1</w:t>
      </w:r>
    </w:p>
    <w:p>
      <w:r>
        <w:t>L’appelant ne conteste pas en elle-même la peine qui a été prononcée à son encontre, qui doit dans tous les cas être revue d’office, mais uniquement le caractère ferme de celle-ci. Sa contestation des faits en cause ne serait pas indicative d’une absence de prise de conscience et ne serait pas suffisante pour refuser de lui octroyer le sursis.</w:t>
      </w:r>
    </w:p>
    <w:p>
      <w:r>
        <w:rPr>
          <w:b/>
        </w:rPr>
        <w:t>E. 5.2.1</w:t>
      </w:r>
    </w:p>
    <w:p>
      <w:r>
        <w:t>Selon l’art. 47 CP, le juge fixe la peine d'après la culpabilité de l'auteur. Il prend en considération les antécédents et la situation</w:t>
      </w:r>
    </w:p>
    <w:p>
      <w:r>
        <w:t>- 14 -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w:t>
      </w:r>
    </w:p>
    <w:p>
      <w:r>
        <w:t>- 15 -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w:t>
      </w:r>
    </w:p>
    <w:p>
      <w:r>
        <w:t>- 16 - Aux termes de l'art. 44 al. 1 CP, si le juge suspend totalement ou partiellement l'exécution d'une peine, il impartit au condamné un délai d'épreuve de deux à cinq ans.</w:t>
      </w:r>
    </w:p>
    <w:p>
      <w:r>
        <w:rPr>
          <w:b/>
        </w:rPr>
        <w:t>E. 5.3</w:t>
      </w:r>
    </w:p>
    <w:p>
      <w:r>
        <w:t>En l’espèce, la culpabilité de l’appelant n’est pas négligeable. Son comportement a été réfléchi afin de lui permettre de continuer à bénéficier d’un titre de séjour en Suisse auquel il savait ne pas pouvoir prétendre alors que le précédent était en péril suite au départ de son épouse pour la Bulgarie. Sa prise de conscience est inexistante puisqu’il persiste à nier les faits malgré l’absence d’une version plausible ou étayée d’une quelconque manière. Son casier judiciaire fait état de quatre condamnations précédentes pour des infractions à la LEI. Il se trouve ainsi en situation de récidive spéciale. On ne voit pas d’éléments à décharge. Les quatre précédentes condamnations de l’appelant, comprenant notamment une peine privative de liberté ferme de 60 jours, n’ont eu aucun effet sur son comportement. Seule une peine privative de liberté est ainsi envisageable. Le faux dans les titres est l’infraction la plus grave. Il doit être sanctionné par une peine privative de liberté de 40 jours. Par l’effet du concours, la peine doit être augmentée de 20 jours pour le comportement frauduleux à l’égard des autorités. C’est ainsi une peine privative de liberté d’ensemble de 60 jours qui sera prononcée. Contrairement à ce que soutient l’appelant, sa persistance à nier l’évidence démontre une absence de prise de conscience qui, cumulée à ses antécédents, ne peut qu’entraîner un pronostic d’amendement défavorable. La peine doit donc être ferme.</w:t>
      </w:r>
    </w:p>
    <w:p>
      <w:r>
        <w:rPr>
          <w:b/>
        </w:rPr>
        <w:t>E. 6</w:t>
      </w:r>
    </w:p>
    <w:p>
      <w:r>
        <w:t>Partant de la prémisse d’un acquittement complet, l’appelant requiert que les frais de première instance soient laissés à la charge de l’Etat et qu’une indemnité de l’art. 429 CPP lui soit allouée pour la procédure de première instance. Sa condamnation étant entièrement confirmée, ces conclusions doivent être rejetées.</w:t>
      </w:r>
    </w:p>
    <w:p>
      <w:r>
        <w:t>- 17 -</w:t>
      </w:r>
    </w:p>
    <w:p>
      <w:r>
        <w:rPr>
          <w:b/>
        </w:rPr>
        <w:t>E. 7</w:t>
      </w:r>
    </w:p>
    <w:p>
      <w:r>
        <w:t>Au vu de ce qui précède, l’appel doit être rejeté et le jugement entrepris confirmé. Les frais de procédure d’appel s’élèvent à 1'720 francs. Ils sont constitués de l’émolument d’audience, par 400 fr. (art. 21 al. 2 TFIP), de l’émolument de jugement, par 1’320 fr. (art. 21 al. 1 TFIP), et de l’indemnité d’office arrêtée ci-dessus. Ils seront mis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