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PE24.001181 vom 2. August 2024</w:t>
      </w:r>
    </w:p>
    <w:p>
      <w:r>
        <w:t>VD Tribunal cantonal, 2024-08-02, FR</w:t>
      </w:r>
    </w:p>
    <w:p>
      <w:r>
        <w:rPr>
          <w:b/>
        </w:rPr>
        <w:t xml:space="preserve">Quelle: </w:t>
      </w:r>
      <w:r>
        <w:t>https://mcp.opencaselaw.ch/entscheid/vd_gerichte_PE24.001181</w:t>
      </w:r>
    </w:p>
    <w:p>
      <w:r>
        <w:t>FR: VD_GERICHTE PE24.001181 du 2 août 2024</w:t>
      </w:r>
    </w:p>
    <w:p>
      <w:r>
        <w:t>IT: VD_GERICHTE PE24.001181 del 2 agosto 2024</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 plaignante qui a qualité pour recourir (art. 382 al. 1 CPP), le recours d’A.________SA est recevable.</w:t>
      </w:r>
    </w:p>
    <w:p>
      <w:r>
        <w:rPr>
          <w:b/>
        </w:rPr>
        <w:t>E. 2.1</w:t>
      </w:r>
    </w:p>
    <w:p>
      <w:r>
        <w:t>La recourante invoque une violation de l’art. 310 al. 1 let. a CPP. Elle fait en substance valoir qu’il existerait des soupçons sérieux et suffisants qui laisseraient présumer que les infractions dénoncées, soit les dommages à la propriété au sens de l’art. 144 CP et la violation de domicile au sens de l’art. 186 CP, sont réalisées et reproche au Ministère public de ne pas avoir ordonné les mesures d’instruction nécessaires pour les établir.</w:t>
      </w:r>
    </w:p>
    <w:p>
      <w:r>
        <w:rPr>
          <w:b/>
        </w:rPr>
        <w:t>E. 2.2.1</w:t>
      </w:r>
    </w:p>
    <w:p>
      <w:r>
        <w:t>Aux termes de l'art. 309 al. 1 let. a CPP, le Ministère public ouvre une instruction, notamment, lorsqu'il ressort du rapport de police,</w:t>
      </w:r>
    </w:p>
    <w:p>
      <w:r>
        <w:t>- 5 - des dénonciations ou de ses propres constatations des soupçons suffisants laissant présumer qu'une infraction a été commise.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réf. cit. ; ATF 137 IV 285 consid. 2.3 et réf. cit., JdT 2012 IV 160 ; TF 6B_1177/2022 du 21 février 2023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(CREP 28 juin 2023/466 ; TF 6B_541/2017 du 20 décembre 2017 consid. 2.2).</w:t>
      </w:r>
    </w:p>
    <w:p>
      <w:r>
        <w:rPr>
          <w:b/>
        </w:rPr>
        <w:t>E. 2.2.2</w:t>
      </w:r>
    </w:p>
    <w:p>
      <w:r>
        <w:t>Selon l’art. 144 al. 1 CP, quiconque, sans droit, endommage, détruit ou met hors d’usage une chose appartenant à autrui ou frappée d’un droit d’usage ou d’usufruit au bénéfice d’autrui, est, sur plainte, puni d’une peine privative de liberté de trois ans au plus ou d’une peine pécuniaire.</w:t>
      </w:r>
    </w:p>
    <w:p>
      <w:r>
        <w:t>- 6 -</w:t>
      </w:r>
    </w:p>
    <w:p>
      <w:r>
        <w:rPr>
          <w:b/>
        </w:rPr>
        <w:t>E. 2.2.3</w:t>
      </w:r>
    </w:p>
    <w:p>
      <w:r>
        <w:t>L’art. 186 CP prévoit que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w:t>
      </w:r>
    </w:p>
    <w:p>
      <w:r>
        <w:rPr>
          <w:b/>
        </w:rPr>
        <w:t>E. 2.3</w:t>
      </w:r>
    </w:p>
    <w:p>
      <w:r>
        <w:t>En l’espèce, le raisonnement du Ministère public est insoutenable. La recourante a en effet déposé une plainte pénale pour violation de domicile et dommages à la propriété, pour le motif que des inconnus se seraient introduits sans droit, après avoir forcé la porte d’entrée, dans un bâtiment dont elle est propriétaire à l’avenue de [...] à [...] et y demeureraient toujours. Il ressort des observations faites par la police (P. 4 et 11) que la villa en question est effectivement occupée par des squatteurs, qui l’ont d’ailleurs reconnu dans un courriel adressé à la recourante le 24 février 2023 au nom du « H.________ » (P. 5/3). N.________, entendu par la police après avoir été observé en train de sortir de la propriété de la recourante, a également confirmé que l’immeuble était squatté et admis qu’il s’y rendait lui-même de temps en temps pour manger et/ou y dormir (PV aud. 1). Il existe dès lors des indices tout à fait concrets qui laissent présumer que l’infraction de violation de domicile dénoncée par la recourante est réalisée, y compris d’ailleurs par N.________, le fait de pénétrer dans un bâtiment en sachant qu’il est squatté étant en effet susceptible de réaliser les éléments constitutifs de l’infraction de violation de domicile par dol éventuel à tout le moins. La recourante allègue en outre de manière crédible et vraisemblable que la porte d’entrée de la villa était fermée et qu’elle a dû être forcée pour permettre l’intrusion de ses occupants actuels. N.________ a d’ailleurs précisé qu’il ne savait pas qui avait « fait les dégâts pour</w:t>
      </w:r>
    </w:p>
    <w:p>
      <w:r>
        <w:t>- 7 - entrer dans cette maison » (PV aud. 1, R. 7), ce qui laisse supposer qu’il a lui-même pu les constater. Il existe donc également des indices suffisants que l’infraction de dommages à la propriété a été commise, même si les membres du collectif affirment le contraire. Reste que les occupants de l’immeuble ont apparemment refusé de se légitimer auprès de la police (P. 4). Contrairement à ce que semble croire la procureure, ce refus ne justifie nullement la passivité des autorités de poursuite pénale et la délivrance d’une ordonnance de non- entrée en matière. Selon la jurisprudence du Tribunal fédéral, le principe de non-incrimination ne saurait en effet s'appréhender comme le fondement d'un droit à l'anonymat, ni être invoqué pour justifier le refus de décliner son identité (ATF 149 IV 9 consid. 5.2). Les Juges fédéraux ont par ailleurs précisé que la procédure pénale ne saurait être paralysée du seul fait que (seule) l'identité de l'auteur n'est pas connue ou ne l'est que partiellement. Ainsi, lorsque les données personnelles du prévenu demeurent en tout ou en parties inconnues, il incombe à l'autorité de pallier ces éventuelles carences par toutes mesures utiles permettant de garantir une identification et une désignation claire du prévenu, propre à prévenir tout risque de confusion. A cet égard une désignation générique accompagnée de données signalétiques peut se révéler suffisante (ATF 149 IV 9 consid. 6.3). Il découle de ce qui précède que la procureure ne pouvait refuser d’entrer en matière sur la plainte déposée par la recourante. Elle devait bien au contraire ouvrir une instruction pénale, puis délivrer un mandat à la police pour qu’elle procède aux mesures nécessaires à identifier les occupants de l’immeuble, cas échéant en les emmenant au poste (art. 215 al. 1 let. a CPP) en vue, en cas de refus persistant de se légitimer, d’à tout le moins procéder à la saisie de leurs données signalétiques (art. 260 CPP), voire à un prélèvement d’échantillon en vue de l’établissement d’un profil ADN (art. 255 CPP ; TF 1B_595/2021 du 28 juillet 2022 ; JdT 2022 III 152).</w:t>
      </w:r>
    </w:p>
    <w:p>
      <w:r>
        <w:t>- 8 -</w:t>
      </w:r>
    </w:p>
    <w:p>
      <w:r>
        <w:rPr>
          <w:b/>
        </w:rPr>
        <w:t>E. 3</w:t>
      </w:r>
    </w:p>
    <w:p>
      <w:r>
        <w:t>En définitive, le recours doit être admis, l'ordonnance attaquée annulée et le dossier de la cause renvoyé au Ministère public de l’arrondissement de l’Est vaudois pour qu’il procède dans le sens des considérants. Les frais de la procédure de recours, constitués en l’espèce du seul émolument d'arrêt, par 880 fr. (art. 20 al. 1 TFIP [Tarif des frais judiciaires et indemnités en matière pénale du 28 septembre 2010 ; BLV 312.03.1]), seront laissés à la charge de l’Etat (art. 428 al. 4 CPP). Le montant de 770 fr. versé par la recourante à titre de sûretés lui sera par ailleurs restitué (art. 7 TFIP). Obtenant gain de cause, la recourante, qui a procédé avec l’assistance d’un avocat de choix, a droit à une indemnité pour les dépenses occasionnées par la procédure de recours (art. 433 al. 1 let. a CPP, applicable par renvoi de l’art. 436 al. 1 CPP). Au vu du mémoire de recours et de la nature de l’affaire, l’indemnité sera fixée à 940 fr., correspondant à 1 heure d’activité nécessaire d’avocat breveté au tarif horaire de 300 fr., ainsi qu’à 4 heures d’activité nécessaire d’avocat stagiaire au tarif horaire de 160 fr. (art. 26a al. 3 TFIP), auxquels il convient d’ajouter des débours forfaitaires à concurrence de 2% (art. 3bis al. 1 RAJ [règlement du 7 décembre 2010 sur l'assistance judiciaire en matière civile ; BLV 211.02.3], applicable par renvoi de l’art. 26b TFIP) des honoraires, par 18 fr. 80, plus la TVA au taux de 8,1 %, par 77 fr.65, soit à 1'037 fr. au total en chiffres arrondis. Par ces motifs, la Chambre des recours pénale prononce : I. Le recours est admis. II. L’ordonnance du 2 mai 2024 est annulée.</w:t>
      </w:r>
    </w:p>
    <w:p>
      <w:r>
        <w:t>- 9 - III. Le dossier de la cause est renvoyé au Ministère public de l’arrondissement de l’Est vaudois pour qu’il procède dans le sens des considérants. IV. Les frais d’arrêt, par 880 fr. (huit cent huitante francs), sont laissés à la charge de l’Etat. V. Une indemnité de 1’037 fr. (mille trente-sept francs) est allouée à A.________SA, pour la procédure de recours, à la charge de l’Etat. VI. Le montant de 770 fr. (sept cent septante francs) versé par la recourante à titre de sûretés lui est restitué. VII. L’arrêt est exécutoire. Le président : La greffière : Du Le présent arrêt, dont la rédaction a été approuvée à huis clos, est notifié, par l'envoi d'une copie complète, à : - Mes Alexandre Kirschmann et Domenico Di Cicco, avocats (pour A.________SA), - Ministère public central ; et communiqué à : - Mme la Procureure de l’arrondissement de l’Est vaudois, - M. N.________,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