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PE24.000881 vom 21. Oktober 2024</w:t>
      </w:r>
    </w:p>
    <w:p>
      <w:r>
        <w:t>VD Tribunal cantonal, 2024-10-21, FR</w:t>
      </w:r>
    </w:p>
    <w:p>
      <w:r>
        <w:rPr>
          <w:b/>
        </w:rPr>
        <w:t xml:space="preserve">Quelle: </w:t>
      </w:r>
      <w:r>
        <w:t>https://mcp.opencaselaw.ch/entscheid/vd_gerichte_PE24.000881</w:t>
      </w:r>
    </w:p>
    <w:p>
      <w:r>
        <w:t>FR: VD_GERICHTE PE24.000881 du 21 octobre 2024</w:t>
      </w:r>
    </w:p>
    <w:p>
      <w:r>
        <w:t>IT: VD_GERICHTE PE24.000881 del 21 ottobre 2024</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Code de procédure pénale (art. 222 et 393 al. 1 let. c CPP), par un détenu qui a la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en commettant des crimes ou des délits graves après avoir déjà commis des infractions du même genre (let. c ; modifié au 1er janvier 2024 [RO 2023 p. 468]). Selon le nouvel art. 221 al. 1bis CPP, en vigueur depuis le 1er janvier 2024,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(a) ; en outre, il y a un danger sérieux et imminent qu’il commette un crime grave du même genre (b). Enfin, la détention peut être ordonnée s’il y a sérieusement lieu de</w:t>
      </w:r>
    </w:p>
    <w:p>
      <w:r>
        <w:t>- 8 - craindre qu’une personne passe à l’acte après avoir menacé de commettre un crime grave (art. 221 al. 2 CPP).</w:t>
      </w:r>
    </w:p>
    <w:p>
      <w:r>
        <w:rPr>
          <w:b/>
        </w:rPr>
        <w:t>E. 2.8</w:t>
      </w:r>
    </w:p>
    <w:p>
      <w:r>
        <w:t>à 2.10 ; ATF 137 IV 13 consid. 3 ss ; cf. TF 7B_583/2024 précité consid.</w:t>
      </w:r>
    </w:p>
    <w:p>
      <w:r>
        <w:rPr>
          <w:b/>
        </w:rPr>
        <w:t>E. 3.1</w:t>
      </w:r>
    </w:p>
    <w:p>
      <w:r>
        <w:t>Le recourant conteste l’existence de soupçons de commission d’infractions. Il fait valoir que l’absence de sang sur le couteau serait un élément décisif venant mettre à mal la crédibilité des déclarations de la plaignante, tout comme les conclusions du rapport médico-légal du CURML. Il relève par ailleurs que le juge de la détention a statué sur la crédibilité des déclarations des parties outrepassant ainsi ses compétences.</w:t>
      </w:r>
    </w:p>
    <w:p>
      <w:r>
        <w:rPr>
          <w:b/>
        </w:rPr>
        <w:t>E. 3.2.1</w:t>
      </w:r>
    </w:p>
    <w:p>
      <w:r>
        <w:t>La mise en détention provisoire n'est possible que s'il existe à l'égard de l'auteur présumé, et préalablement à toute autre cause, de graves soupçons d'avoir commis un crime ou un délit (ATF 139 IV 186 consid. 2 ; Chaix, in : Jeanneret et al. [éd.], Commentaire romand, Code de procédure pénale suisse, 2e éd., Bâle 2019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1B_93/2023 du 7 mars 2023 consid. 4.1 ; Chaix, in : CR CPP,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1B_93/2023 précité). A l'instar du juge du séquestre, le juge de la détention n'est toutefois pas tenu, à ce stade de la procédure, de résoudre des questions juridiques complexes (ATF 141 IV 360 consid. 3.2 ; TF 1B_211/2017 du 27</w:t>
      </w:r>
    </w:p>
    <w:p>
      <w:r>
        <w:t>- 9 -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143 IV 139 consid. 2.1 ; ATF 137 IV 122 consid. 3.2 ; ATF 124 I 208 consid. 3 ; TF 1B_93/2023 précité ; Forster, in : Niggli/Heer/Wiprächtiger [éd.], Basler Kommentar, Schweizerische Strafprozessordnung, 3e éd., Bâle 2023, n. 3 ad art. 221 CPP). De plus, c'est au juge du fond et non à celui de la détention qu'il incombera de résoudre définitivement les questions de qualification juridique des faits poursuivis, d'apprécier la culpabilité de l'intéressé ainsi que la valeur probante des différentes déclarations (cf. ATF 143 IV 330 consid. 2.1).</w:t>
      </w:r>
    </w:p>
    <w:p>
      <w:r>
        <w:rPr>
          <w:b/>
        </w:rPr>
        <w:t>E. 3.2.2</w:t>
      </w:r>
    </w:p>
    <w:p>
      <w:r>
        <w:t>En matière de prolongation de la détention avant jugement, la jurisprudence du Tribunal fédéral admet une motivation par renvoi à de précédentes décisions, pour autant que l’intéressé ne fasse pas valoir de faits ou d’arguments nouveaux et que les motifs auxquels il est renvoyé soient développés de manière suffisante au regard des exigences déduites de l’art. 29 al. 2 Cst. (ATF 123 I 31 consid. 2c ; TF 7B_482/2024 du 21 mai 2024 consid. 2.2.1 ; TF 7B_715/2023 du 13 novembre 2023 consid. 5.2 et les arrêts cités ; TF 1B_77/2021 du 23 mars 2021 consid. 3.2 ; TF 1B_252/2020 du 11 juin 2020 consid. 2.1 ; TF 1B_49/2016 du 25 février 2016 consid. 2).</w:t>
      </w:r>
    </w:p>
    <w:p>
      <w:r>
        <w:rPr>
          <w:b/>
        </w:rPr>
        <w:t>E. 3.2.3</w:t>
      </w:r>
    </w:p>
    <w:p>
      <w:r>
        <w:t>et les réf. cit.). Les crimes graves du même genre redoutés au sens de l'art. 221 al. 1bis let. b CPP mettent en effet directement en danger la sécurité tant au regard de l'ancien droit (art. 221 al. 1 let. c aCPP) qu'à la lumière du nouveau droit (art. 221 al. 1bis let. a et b CPP ; TF 7B_716/2024 précité consid. 4.1.2 et les réf. cit. ; TF 7B_583/2024 précité consid. 3.2.3 et la réf. cit.). La notion de crime grave au sens de l'art. 221 al. 1bis let. b CPP se rapporte aux biens juridiques protégés cités à l'art 221 al. 1bis let. a CPP, à savoir l'intégrité physique, psychique et sexuelle d'autrui ; si la notion de crime est définie à l'art. 10 al. 2 CP et qu'il s'agit donc des infractions passibles d'une peine privative de liberté de plus de trois ans, il n'existe pas de critère clair permettant de délimiter un crime grave au sens de l'art. 221 al. 1bis let. b CPP d'un crime moins grave (TF 7B_583/2024 précité consid. 3.2.3 et la réf. cit.). Selon le Message, le motif de détention exceptionnel prévu à l'art. 221 al. 1bis CPP a une certaine proximité avec le motif de détention mentionné à l'art. 221 al. 2 CPP (risque de passage à l'acte ; FF 2019 pp. 6351 ss, spéc. p. 6395). Le libellé de cette disposition prévoit également que la menace de passer à l'acte doit porter sur un crime grave (TF 7B_716/2024 précité consid. 4.1.2). En ce qui concerne l'aspect temporel du risque d'infraction dans le cadre du risque de récidive qualifié au sens de l'art. 221 al. 1bis CPP, il faut se référer, selon le Message, à ce qui a été retenu en lien avec l'art. 221 al. 1 let. c CPP (FF 2019 pp. 6351 ss, spéc. p. 6395). Ainsi, l'ajout du terme « imminent » permet de préciser que le prévenu doit représenter une lourde menace que des crimes graves risquent de se produire dans un</w:t>
      </w:r>
    </w:p>
    <w:p>
      <w:r>
        <w:t>- 13 - avenir proche et que, de ce fait, la détention doit être ordonnée de toute urgence, la détention préventive paraissant en effet justifiée seulement si ces conditions sont réunies (FF 2019 pp. 6351 ss, spéc. p. 6395 ; TF 7B_716/2024 précité consid. 4.1.2). La prévention du risque de récidive doit permettre de faire prévaloir l'intérêt de la sécurité publique sur la liberté personnelle du prévenu (ATF 137 IV 13 consid. 3 et 4).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150 IV 149 consid. 3.6.2 ; ATF 146 IV 326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136 consid. 2 ; ATF 143 IV 9 consid. 2.9 ; TF 7B_716/2024 précité consid. 4.1.3).</w:t>
      </w:r>
    </w:p>
    <w:p>
      <w:r>
        <w:rPr>
          <w:b/>
        </w:rPr>
        <w:t>E. 3.3</w:t>
      </w:r>
    </w:p>
    <w:p>
      <w:r>
        <w:t>La Chambre de céans fait siennes les considérations du Tribunal des mesures de contrainte s’agissant de l’existence de soupçons suffisants de commission d’infractions par le recourant. En effet, celui-ci se trompe lorsqu’il affirme que les soupçons pesant sur lui se seraient « effrités » au fil de l’instruction. S’il ressort de l’examen clinique de la plaignante qu’une ecchymose et une dermabrasion seraient antérieures aux faits dénoncés, les médecins constatent toutefois que l’ensemble des autres lésions sont compatibles avec le récit d’F.________. S’agissant de l’utilisation du couteau, cette dernière a déclaré qu’elle avait été griffée</w:t>
      </w:r>
    </w:p>
    <w:p>
      <w:r>
        <w:t>- 10 - (PV aud. 4, ll. 206-207), ce qui correspond aux constatations médicales. Par ailleurs, un voisin de la plaignante a déclaré qu’il l’avait vue en état de choc le jour des faits et qu’elle lui avait raconté ce qui s’était passé (PV aud. 1). A cela s’ajoute que l’enquête a été jointe à une autre procédure dirigée contre le recourant pour des faits de violence à l’encontre d’une autre femme et qu’il semble que par le passé, d’autres femmes encore se seraient plaintes du comportement du recourant (cf. PV aud. 4, ll. 254 ss). Comme le relève celui-ci, il appartient bien au juge du fond de se prononcer en définitive sur la culpabilité et non au juge de la détention. Toutefois, à ce stade de l’instruction, il y a lieu de considérer que l’ensemble des éléments qui précèdent constitue des soupçons suffisants de culpabilité à l’encontre du prévenu et viennent, au contraire de ce qu’allègue le recourant, renforcer les déclarations de la plaignante. La première condition de l’art. 221 al. 1 CPP est donc réalisée.</w:t>
      </w:r>
    </w:p>
    <w:p>
      <w:r>
        <w:rPr>
          <w:b/>
        </w:rPr>
        <w:t>E. 4.1</w:t>
      </w:r>
    </w:p>
    <w:p>
      <w:r>
        <w:t>Le recourant conteste l’existence d’un risque de récidive qualifié. Il fait valoir que le rapport d’expertise se fonderait uniquement sur l’hypothèse, erronée, que les faits qui lui sont reprochés seraient avérés et que seules les déclarations de la plaignante pourraient être utilisées pour juger de sa dangerosité. Or, dites déclarations ne seraient pas crédibles. Par ailleurs, le rapport d’expertise relève que le risque de récidive ne serait pas imminent mais existerait que dans le cadre d’une nouvelle relation qu’il pourrait entretenir. Il ressort également du rapport d’expertise que de nombreux éléments protecteurs existeraient, tels que ses capacités de contrôles et de ressources, l’absence de trouble en lien avec des consommations de substances psychoactives, le respect de l’autorité et du système judiciaire ainsi que l’attachement affectif à ses enfants. Le recourant évoque en outre la longue période de détention provisoire, les conséquences de la procédure sur sa personne, l’absence d’antécédent et le travail psychothérapeutique suggéré par les experts et pour lequel il aurait déjà initié des démarches.</w:t>
      </w:r>
    </w:p>
    <w:p>
      <w:r>
        <w:rPr>
          <w:b/>
        </w:rPr>
        <w:t>E. 4.1.1</w:t>
      </w:r>
    </w:p>
    <w:p>
      <w:r>
        <w:t>et les réf. cit.). L'art. 221 al. 1bis CPP prévoit un risque de récidive qualifié par rapport à l'art. 221 al. 1 let. c CPP, qui a été introduit dans le but de compenser le fait qu'il est renoncé à l'exigence d'infractions préalables à celle(s) qui fonde(nt) la mise en détention provisoire ou pour des motifs de sûreté ; cela étant, ce motif exceptionnel de détention ne peut être envisageable qu'aux conditions strictes, cumulatives, énumérées aux let. a et b de l'art. 221 al. 1bis CPP (TF 7B_716/2024 précité consid. 4.1.1 et les réf. cit). L'art. 221 al. 1bis let. b CPP exige, dans l'examen du pronostic, qu'il y ait un danger sérieux et imminent que le prévenu commette un crime grave du même genre. La jurisprudence du Tribunal fédéral ne parlait à l'époque pas littéralement de l'exigence d'un danger « sérieux et imminent » (de nouveaux crimes graves) dans sa jurisprudence ; cependant, il existait déjà, à cet égard, une pratique restrictive sous</w:t>
      </w:r>
    </w:p>
    <w:p>
      <w:r>
        <w:t>- 12 - l'ancien droit, dès lors que le Tribunal fédéral avait expressément souligné que le risque qualifié de récidive n'entrait en ligne de compte que si le risque de nouveaux crimes graves apparaissait comme « inacceptablement élevé » (« untragbar hoch ») ; sur ce point, il y a lieu de continuer à tenir compte de la jurisprudence du Tribunal fédéral (cf., pour le détail, ATF 146 IV 136 consid. 2.2 ; ATF 143 IV 9 consid. 2.3.1 et</w:t>
      </w:r>
    </w:p>
    <w:p>
      <w:r>
        <w:rPr>
          <w:b/>
        </w:rPr>
        <w:t>E. 4.2</w:t>
      </w:r>
    </w:p>
    <w:p>
      <w:r>
        <w:t>Le nouvel art. 221 al. 1bis CPP, en vigueur depuis le 1er janvier 2024, prévoit que la détention provisoire ou pour des motifs de sûreté</w:t>
      </w:r>
    </w:p>
    <w:p>
      <w:r>
        <w:t>- 11 - peut exceptionnellement être ordonnée si le prévenu est fortement soupçonné d'avoir porté gravement atteinte à l'intégrité physique, psychique ou sexuelle d'autrui en commettant un crime ou un délit grave (let. a) et s'il y a un danger sérieux et imminent qu'il commette un crime grave du même genre (let. b). Avec l'adoption du nouvel art. 221 al. 1bis CPP, le législateur a introduit un motif légal exceptionnel de mise en détention provisoire ou pour des motifs de sûreté, à savoir un risque de récidive qualifié (cf. Message du 28 août 2019 concernant la modification du Code de procédure pénale [ci-après : Message, FF 2019 pp. 6351 ss]). Ce motif de détention découle de la jurisprudence du Tribunal fédéral, en particulier de celle publiée aux ATF 146 IV 136, 143 IV 9 et 137 IV 13 (TF 7B_583/2024 du 25 juin 2024 consid. 3.2.2, destiné à la publication, et les réf. cit.). Dans le cadre de l'examen de la légalité d'une mise en détention provisoire ou pour des motifs de sûreté sur la base de l'art. 221 al. 1bis CPP, la jurisprudence sur laquelle l'adoption de cet article s'est fondée continue pour l'essentiel à s'appliquer (TF 7B_716/2024 du 23 juillet 2024 consid.</w:t>
      </w:r>
    </w:p>
    <w:p>
      <w:r>
        <w:rPr>
          <w:b/>
        </w:rPr>
        <w:t>E. 4.3</w:t>
      </w:r>
    </w:p>
    <w:p>
      <w:r>
        <w:t>En l’espèce, le Tribunal des mesures de contrainte, dans sa première ordonnance du 18 janvier 2024 déjà, n’a aucunement développé les critères d’application de l’art. 221 al. 1bis CPP. Les ordonnances de prolongation de la détention provisoire subséquentes ne font que renvoyer aux ordonnances précédentes, alors même que de la jurisprudence fédérale (cf. ci-avant) et cantonale (par exemple CREP 13 juin 2024/428 ; CREP 22 mai 2024/389) existaient en la matière. En particulier, l’ordonnance querellée n’examine pas – à satisfaction – ce risque à l’aune</w:t>
      </w:r>
    </w:p>
    <w:p>
      <w:r>
        <w:t>- 14 - de l’expertise psychiatrique du recourant, le juge de la détention se contentant d’indiquer que les experts retiennent un risque élevé de récidive, sans tenir compte de la composante du risque non imminent. En outre, le Tribunal des mesures de contrainte n’analyse pas les infractions reprochées au recourant à la lumière de la gravité objective de celles-ci, ni ne prend en considération le fait que le recourant dispose de certaines capacités de contrôle et de ressources. En cas de doute sur les facteurs de protection relevés par les experts, il appartenait au Tribunal des mesures de contrainte d’instruire plus en avant la question. En conséquence, il y a lieu d’admettre le recours et de renvoyer la cause au Tribunal des mesures de contrainte pour qu’il examine les conditions d’application de l’art. 221 al. 1bis CPP. La Chambre de céans ne saurait dans le cas particulier procéder à cette analyse sans violer le principe de la double instance.</w:t>
      </w:r>
    </w:p>
    <w:p>
      <w:r>
        <w:rPr>
          <w:b/>
        </w:rPr>
        <w:t>E. 5.1</w:t>
      </w:r>
    </w:p>
    <w:p>
      <w:r>
        <w:t>Le recourant conteste ensuite l’existence d’un risque de collusion. Il fait valoir que le Ministère public aurait déjà procédé à l’ensemble des auditions utiles et que les parties ne pourraient pas revenir sur leurs déclarations. Il indique que son maintien en détention pour pallier tout risque théorique de collusion en vue d’éventuelles auditions des parties durant les débats serait disproportionné et reviendrait à ordonner la prolongation de sa détention pour une durée indéterminée. Il soutient que des mesures moins incisives et davantage proportionnées peuvent être mises en place.</w:t>
      </w:r>
    </w:p>
    <w:p>
      <w:r>
        <w:rPr>
          <w:b/>
        </w:rPr>
        <w:t>E. 5.2</w:t>
      </w:r>
    </w:p>
    <w:p>
      <w:r>
        <w:t>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risque de collusion vise à empêcher le prévenu de mettre en danger la recherche de la vérité. Pour retenir l'existence d'un risque de collusion, l'autorité doit démontrer que les circonstances particulières du cas d'espèce font apparaître un danger concret et sérieux de telles</w:t>
      </w:r>
    </w:p>
    <w:p>
      <w:r>
        <w:t>- 15 - manœuvres, propres à entraver la manifestation de la vérité, en indiquant, au moins dans les grandes lignes et sous réserve des opérations à conserver secrètes, quels actes d'instruction doivent encore être effectués et en quoi la libération du prévenu en compromettrait l'accomplissement (ATF 137 IV 122 consid. 4.2 ; ATF 132 I 21 consid. 3.2 ; TF 7B_582/2024 du 11 juin 2024 consid. 3.1 ; TF 7B_464/2023 du 11 septembre 2023 consid. 4.1). Dans cet examen, entrent en ligne de compte les caractéristiques personnelles du détenu, son rôle dans l'infraction ainsi que ses relations avec les personnes qui l'accusent et/ou ses liens avec les autres prévenus ; entrent aussi en considération la nature et l'importance des déclarations, respectivement des moyens de preuve susceptibles d'être menacés, la gravité des infractions en cause et le stade de la procédure. En effet, plus l'instruction se trouve à un stade avancé et les faits sont établis avec précision, plus les exigences relatives à la preuve de l'existence d'un risque de collusion sont élevées (ATF 137 IV 122 consid. 4.2 ; ATF 132 I 21 consid. 3.2.1 ; TF 7B_582/2024 précité consid. 3.1 ; TF 7B_464/2023 précité consid. 4.1 ; TF 1B_210/2023 du 12 mai 2023 consid. 4.1).</w:t>
      </w:r>
    </w:p>
    <w:p>
      <w:r>
        <w:rPr>
          <w:b/>
        </w:rPr>
        <w:t>E. 5.3</w:t>
      </w:r>
    </w:p>
    <w:p>
      <w:r>
        <w:t>Pour considérer qu’un risque de collusion est en l’espèce concret, le Tribunal des mesures de contrainte expose qu’au vu des divergences entre les déclarations des parties, le tribunal du fond devrait vraisemblablement réentendre celles-ci aux débats et qu’il se justifiait d’éviter que le recourant interfère dans l’instruction. Il s’est référé à un arrêt du Tribunal fédéral (TF 1B_107/2020 du 24 mars 2020). Or, dans celui-ci, la situation était tout autre. Il s’agissait d’un brigandage en bande organisée avec plusieurs coprévenus dont les déclarations différaient. Un lien de subordination semblait en outre exister entre eux et le recourant avait évoqué la crainte de représailles. Dans le cas d’espèce, toutes les mesures d’instruction ont également déjà eu lieu. Le risque de collusion invoqué ne concerne donc que les éventuelles pressions que le recourant pourrait imposer à la plaignante, à ses anciennes compagnes et au témoin. Toutefois, les positions de chacun sont connues et claires et on ne voit pas comment le recourant pourrait encore concrètement et sérieusement interférer dans l’instruction, si bien que la situation n’est en rien assimilable à l’arrêt précité. Ainsi, avec le recourant, il y a lieu de</w:t>
      </w:r>
    </w:p>
    <w:p>
      <w:r>
        <w:t>- 16 - considérer que la prolongation de sa détention provisoire pour une durée de deux mois en lien avec ce motif n’est pas admissible.</w:t>
      </w:r>
    </w:p>
    <w:p>
      <w:r>
        <w:rPr>
          <w:b/>
        </w:rPr>
        <w:t>E. 6.1</w:t>
      </w:r>
    </w:p>
    <w:p>
      <w:r>
        <w:t>Le recourant soutient enfin que l’assignation à résidence et le port d’un bracelet électronique, cumulés au fait qu’il bénéficie encore d’un logement où il vit seul et de nombreux soutiens lui permettant d’assumer les tâches du quotidien semblent pallier efficacement tant le risque de récidive que de collusion. Il précise que le respect des mesures envisagées pourrait en outre être assuré par la Fondation Vaudoise de Probation. Il fait valoir que les mesures proposées sont davantage proportionnées que la détention provisoire, laquelle dure depuis bientôt une année. Il relève encore que la motivation succincte du Tribunal des mesures de contrainte au sujet des mesures de substitution ne permet pas de comprendre en quoi elles ne permettraient pas de pallier les risques retenus.</w:t>
      </w:r>
    </w:p>
    <w:p>
      <w:r>
        <w:rPr>
          <w:b/>
        </w:rPr>
        <w:t>E. 6.2</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w:t>
      </w:r>
    </w:p>
    <w:p>
      <w:r>
        <w:t>- 17 -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 et al. [éd.], op. cit., n. 2 ad art. 237 CPP). L’art. 237 al. 3 CPP précise que, pour surveiller l’exécution de ces mesures, le tribunal peut ordonner l’utilisation d’appareils techniques qui peuvent être fixés à la personne sous surveillance.</w:t>
      </w:r>
    </w:p>
    <w:p>
      <w:r>
        <w:rPr>
          <w:b/>
        </w:rPr>
        <w:t>E. 6.3</w:t>
      </w:r>
    </w:p>
    <w:p>
      <w:r>
        <w:t>En l’espèce, à la mi-novembre 2024, le recourant aura été détenu provisoirement depuis 11 mois. A supposer qu’une détention pour des motifs de sûretés soit prononcée à son encontre et que les débats soient appointés quatre mois plus tard, la proportionnalité de la détention du prévenu peut paraître a priori discutable. A tout le moins, il appartiendra au Tribunal des mesures de contrainte d’examiner de manière circonstanciée les mesures de substitution susceptibles d’atteindre le même but que la détention, en particulier l’ensemble des mesures proposées par le recourant. Dans l’ordonnance querellée, l’autorité inférieure se contente d’écarter d’un bloc ces mesures, relevant qu’elles ont déjà été rejetées par le passé, sous réserve de l’obligation de suivre un traitement pour laquelle elle a indiqué que rien de concret n’avait été proposé. Or, des mesures sont envisageables et devraient permettre d’atteindre le même but que la détention.</w:t>
      </w:r>
    </w:p>
    <w:p>
      <w:r>
        <w:rPr>
          <w:b/>
        </w:rPr>
        <w:t>E. 7</w:t>
      </w:r>
    </w:p>
    <w:p>
      <w:r>
        <w:t>En définitive, le recours doit être admis, l’ordonnance annulée et le dossier renvoyé au Tribunal des mesures de contrainte pour qu’il examine les possibilités de mettre en œuvre des mesures de substitution à la détention provisoire. Compte tenu de la nature de l’affaire et de l’acte de recours déposé, l’indemnité allouée au défenseur d’office de D.________ sera fixée à 900 fr., correspondant à une activité nécessaire d’avocat de 5 heures au</w:t>
      </w:r>
    </w:p>
    <w:p>
      <w:r>
        <w:t>- 18 -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18 fr., plus la TVA au taux de 8,1 %, par 74 fr. 35, soit à 993 fr. au total en chiffres arrondis. Vu le sort du recours, les frais de la procédure, constitués en l’espèce de l’émolument d'arrêt, par 1'760 fr. (art. 20 al. 1 TFIP), et des frais imputables à la défense d’office de D.________ (art. 422 al. 1 et 2 let. a CPP), fixés à 993 fr., seront laissés à la charge de l’Etat (art. 428 al. 4 CPP). Par ces motifs, la Chambre des recours pénale prononce : I. Le recours est admis. II. L’ordonnance du 18 septembre 2024 est annulée. III. Le dossier de la cause est renvoyé au Tribunal des mesures de contrainte pour qu’il procède dans le sens des considérants. IV. L’indemnité allouée au défenseur d’office de D.________ est fixée à 993 fr. (neuf cent nonante-trois francs), débours et TVA compris. V. Les frais d’arrêt, par 1’760 fr. (mille sept cent soixante francs), ainsi que l’indemnité due au défenseur d’office du recourant, par 993 fr. (neuf cent nonante-trois francs), sont laissés à la charge de l’Etat. VI. L’arrêt est exécutoire. Le président : Le greffier :</w:t>
      </w:r>
    </w:p>
    <w:p>
      <w:r>
        <w:t>- 19 - Du Le présent arrêt, dont la rédaction a été approuvée à huis clos, est notifié, par l'envoi d'une copie complète, à : - Me Joffrey Dobosz, avocat (pour D.________), - Ministère public central, et communiqué à : - M. le Président du Tribunal des mesures de contrainte, - Mme la Procureure de l’arrondissement du Nord vaudois, En application de l’art. 214 al. 4 CPP, le dispositif du présent arrêt est communiqué par courrier séparé à la victime suivante : - Me Elodie Vilardo, avocate (pour F.________),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