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PE24.000877 vom 2. Mai 2025</w:t>
      </w:r>
    </w:p>
    <w:p>
      <w:r>
        <w:t>VD Tribunal cantonal, 2025-05-02, FR</w:t>
      </w:r>
    </w:p>
    <w:p>
      <w:r>
        <w:rPr>
          <w:b/>
        </w:rPr>
        <w:t xml:space="preserve">Quelle: </w:t>
      </w:r>
      <w:r>
        <w:t>https://mcp.opencaselaw.ch/entscheid/vd_gerichte_PE24.000877</w:t>
      </w:r>
    </w:p>
    <w:p>
      <w:r>
        <w:t>FR: VD_GERICHTE PE24.000877 du 2 mai 2025</w:t>
      </w:r>
    </w:p>
    <w:p>
      <w:r>
        <w:t>IT: VD_GERICHTE PE24.000877 del 2 maggio 2025</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[ci-après : CR-CPP], 3e éd., Bâle 2023, n. 17 ad art. 356 CPP ; Riklin, in : Niggli/Heer/Wiprächtiger [édit.], Basler Kommentar, Schweizerische Strafprozessordnung, Jugendstrafprozessordnung, 2e éd., Bâle 2014, n. 2 ad art. 356 CPP ; CREP 4 décembre 2024/886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la prévenue qui a qualité pour recourir (art. 382 al. 1 CPP) et dans les formes prescrites (art. 385 al. 1 CPP), le recours est recevable.</w:t>
      </w:r>
    </w:p>
    <w:p>
      <w:r>
        <w:rPr>
          <w:b/>
        </w:rPr>
        <w:t>E. 2.1</w:t>
      </w:r>
    </w:p>
    <w:p>
      <w:r>
        <w:t>La recourante expose être l’objet d’une curatelle de représentation et de gestion dont le Ministère public aurait eu connaissance, de même que de l’identité de son avocate. Il aurait donc incombé à cette autorité de notifier l’ordonnance pénale à cette dernière, ce qu’elle aurait omis de faire, et le délai d’opposition aurait donc dû être prolongé au 13 mai 2024, date à laquelle son avocate avait pris connaissance de cette ordonnance selon les pièces 11/0 et 11/2 du dossier.</w:t>
      </w:r>
    </w:p>
    <w:p>
      <w:r>
        <w:t>- 6 -</w:t>
      </w:r>
    </w:p>
    <w:p>
      <w:r>
        <w:rPr>
          <w:b/>
        </w:rPr>
        <w:t>E. 2.2.1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let. a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soit après le délai de dix jours prévu par l'art. 354 al. 1 CPP, le tribunal la déclare irrecevable.</w:t>
      </w:r>
    </w:p>
    <w:p>
      <w:r>
        <w:rPr>
          <w:b/>
        </w:rPr>
        <w:t>E. 2.2.2</w:t>
      </w:r>
    </w:p>
    <w:p>
      <w:r>
        <w:t>Aux termes de l’art. 129 CPP, dans toutes les procédures pénales et à n’importe quel stade de celles-ci, le prévenu a le droit de charger de sa défense un conseil juridique au sens de l’art. 127 al. 5 (défense privée) ou, sous réserve de l’art. 130, de se défendre soi-même (al. 1). L’exercice de la défense privée exige une procuration écrite ou une déclaration du prévenu consignée au procès-verbal (al. 2). La déclaration du prévenu consignée au procès-verbal vaut donc procuration écrite. Selon la doctrine, une procuration écrite signée en faveur du défenseur n’est qu’un moyen de preuve établissant que l’avocat est habilité par son mandant à agir pour lui ; elle n’est pas une condition de validité du mandat entre le prévenu et son défenseur, qui ne dépend que de la volonté concordante des deux parties et n’est soumise à aucune forme particulière. Selon le Tribunal fédéral, l’exigence de production d’une procuration est une prescription d’ordre et sanctionner son non- respect par la perte d’un droit du client serait constitutif d’un déni de justice formel contraire à la Constitution (ATF 104 Ia 403 consid. 4 ; Harari, in : CR-CPP, nn. 21 et 25 ad art. 129 CPP et les réf. cit.). Selon l'art. 87 al. 3 CPP, si les parties sont pourvues d’un conseil juridique, les communications sont valablement notifiées à celui-ci. Selon le Tribunal fédéral, celui qui annonce aux autorités pénales se faire assister pour défendre ses intérêts d'un conseil juridique ayant son étude en Suisse communique de la sorte une adresse de</w:t>
      </w:r>
    </w:p>
    <w:p>
      <w:r>
        <w:t>- 9 - notification simple et sûre pour les autorités, à savoir celle de son conseil. L’art. 87 al. 3 CPP est d'ordre impératif et ne laisse pas de place à une réserve qui serait formulée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consid. 2).</w:t>
      </w:r>
    </w:p>
    <w:p>
      <w:r>
        <w:rPr>
          <w:b/>
        </w:rPr>
        <w:t>E. 2.3</w:t>
      </w:r>
    </w:p>
    <w:p>
      <w:r>
        <w:t>En l’espèce, il est établi et non contesté que la recourante se savait partie à une procédure pénale. Toutefois, elle soutient qu’elle n’était pas en mesure de recevoir elle-même l’ordonnance pénale du 9 février 2024 car elle aurait été l’objet d’une curatelle de représentation et de gestion, ce dont le Ministère public aurait eu connaissance. Il est vrai qu’il a été question d’une curatelle lors de son audition par la police du 15 janvier 2024, la prévenue ayant parlé d’une « curatelle administrative » (PV d’audition 1). Il ressort également d’un courrier du Ministère public du 30 mai 2024 au Tribunal d’arrondissement de Lausanne (P. 12) que cette autorité avait connaissance de l’existence d’une curatelle mais que l’ordonnance pénale n’avait pas été adressée à un curateur « dès lors qu’il n’était pas fait mention d’une curatelle de portée générale ». La recourante a également produit, en annexe à son premier recours du 15 juillet 2024, une copie, certes incomplète, d’une décision de justice de paix par laquelle une curatelle de représentation et de gestion a été instituée en sa faveur (P. 4). A partir du moment où le Ministère public savait que la prévenue n’était pas en mesure de gérer ses affaires administratives et qu’un curateur lui avait précisément été désigné, ou était sur le point de l’être, pour la représenter dans ses rapports avec des tiers, en particulier en matière d’affaires juridiques, et pour sauvegarder au mieux ses intérêts, la fiction de notification ne pouvait pas être appliquée, car on ne saurait attendre de l’intéressée qu’elle puisse strictement respecter les exigences en la matière posée par la jurisprudence sur la surveillance et la gestion de son courrier. En outre, il ressort du procès-verbal de son audition du 15 janvier 2024 qu’elle avait demandé qu’on appelle son avocate, précisant qu’il s’agissait de Me Bujard (PV d’audition 1). Vu les circonstances particulières de</w:t>
      </w:r>
    </w:p>
    <w:p>
      <w:r>
        <w:t>- 10 - l’interpellation de la recourante et sa fragilité psychique assez évidente, il incombait au Ministère public de vérifier si cette avocate était bien susceptible de l’assister dans la présente cause et de recevoir les éventuelles décisions qui seraient rendues (dans ce sens, voir CREP 30 janvier 2023/61). Il en découle que l’ordonnance pénale du 9 février 2024 n’a pas été valablement notifiée à la recourante. Elle ne déploie donc aucun effet juridique jusqu’au 13 mai 2024, date à laquelle l’avocate de la recourante en a pris connaissance (ATF 142 IV 201, JdT 2017 IV 80). Si l’on prend cette date en considération, on constate alors que la lettre d’opposition de Me Bujard du 23 mai 2024 (P. 11/0) a été adressée en temps utile. C’est donc à tort que le tribunal de police a prononcé son irrecevabilité.</w:t>
      </w:r>
    </w:p>
    <w:p>
      <w:r>
        <w:rPr>
          <w:b/>
        </w:rPr>
        <w:t>E. 3.1</w:t>
      </w:r>
    </w:p>
    <w:p>
      <w:r>
        <w:t>En définitive, le recours doit être admis et l’ordonnance réformée en ce sens que l’opposition d’B.________ à l’ordonnance pénale rendue le 9 février 2024 par le Ministère public de l’arrondissement de Lausanne est recevable. Partant, la cause sera renvoyée à cette autorité pour qu’il procède conformément à l’art 355 CPP.</w:t>
      </w:r>
    </w:p>
    <w:p>
      <w:r>
        <w:rPr>
          <w:b/>
        </w:rPr>
        <w:t>E. 3.2</w:t>
      </w:r>
    </w:p>
    <w:p>
      <w:r>
        <w:t>La présente cause présente des difficultés sur le plan du droit que la recourante ne pouvait pas surmonter seule. Sur le fond, l’affaire ne peut par ailleurs pas être considérée comme étant de peu de gravité, compte tenu de la condamnation de la prévenue à 120 jours-amende (art. 132 al. 2 et 3 CPP). Partant, il convient d’admettre la requête de désignation d’un défenseur d’office en la personne de Me Nour-Aïda Bujard pour la procédure de recours. Les frais de la procédure de recours, constitués en l'espèce de l'émolument d'arrêt, par 1’100 fr. (art. 20 al. 1 TFIP [tarif des frais de procédure et indemnités en matière pénale du 28 septembre 2010 ; BLV 312.03.1]), seront laissés à la charge de l’Etat (art. 423 al. 1 CPP).</w:t>
      </w:r>
    </w:p>
    <w:p>
      <w:r>
        <w:t>- 11 - Compte tenu de la nature de l’affaire et de l’acte déposé, l’indemnité allouée à Me Bujard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L’indemnité s’élève ainsi à 397 fr. au total (montant arrondi), à la charge de l’Etat. Par ces motifs, la Chambre des recours pénale prononce : I. Le recours est admis. II. Le prononcé du 3 mars 2025 est réformé en ce sens que l’opposition de B.________ à l’ordonnance pénale rendue le 9 février 2024 par le Ministère public de l’arrondissement de Lausanne est recevable. III. Le dossier de la cause est renvoyé au Ministère public de l’arrondissement de Lausanne pour qu’il procède conformément à l’art. 355 CPP. IV. La requête tendant à la désignation d’un défenseur d’office pour la procédure de recours est admise et Me Nour-Aïda Bujard est désignée en cette qualité. V. Une indemnité de 397 fr. (trois cent nonante-sept francs) est allouée à Me Nour-Aïda Bujard pour la procédure de recours. VI. Les frais d’arrêt, par 1'100 fr. (mille cent francs), et l’indemnité allouée à Me Nour-Aïda Bujard, par 397 fr. (trois cent nonante- sept francs), sont laissés à la charge de l’Etat. VII. L’arrêt est exécutoire.</w:t>
      </w:r>
    </w:p>
    <w:p>
      <w:r>
        <w:t>- 12 - Le président : La greffière : Du Le présent arrêt, dont la rédaction a été approuvée à huis clos, est notifié, par l'envoi d'une copie complète, à : - Me Nour-Aïda Bujard, avocate (pour B.________), - Mme [...], - M. [...], - Ministère public central, et communiqué à : - Mme la Procureure de l’arrondissement de Lausanne,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