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PE24.000859 vom 25. November 2025</w:t>
      </w:r>
    </w:p>
    <w:p>
      <w:r>
        <w:t>VD Tribunal cantonal, 2025-11-25, FR</w:t>
      </w:r>
    </w:p>
    <w:p>
      <w:r>
        <w:rPr>
          <w:b/>
        </w:rPr>
        <w:t xml:space="preserve">Quelle: </w:t>
      </w:r>
      <w:r>
        <w:t>https://mcp.opencaselaw.ch/entscheid/vd_gerichte_PE24.000859</w:t>
      </w:r>
    </w:p>
    <w:p>
      <w:r>
        <w:t>FR: VD_GERICHTE PE24.000859 du 25 novembre 2025</w:t>
      </w:r>
    </w:p>
    <w:p>
      <w:r>
        <w:t>IT: VD_GERICHTE PE24.000859 del 25 novembre 2025</w:t>
      </w:r>
    </w:p>
    <w:p>
      <w:pPr>
        <w:pStyle w:val="Heading2"/>
      </w:pPr>
      <w:r>
        <w:t>Erwägungen</w:t>
      </w:r>
    </w:p>
    <w:p>
      <w:r>
        <w:rPr>
          <w:b/>
        </w:rPr>
        <w:t>E. 1.1</w:t>
      </w:r>
    </w:p>
    <w:p>
      <w:r>
        <w:t>Les parties peuvent attaquer une ordonnance de classement rendue par le Ministère public en application des art. 319 ss CPP. Le recours doit être adressé par écrit (art. 396 al. 1 CPP), dans un délai de dix jours (art. 322 al. 2 CPP), à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et dans les formes prescrites (art. 385 al. 1 CPP), par la prévenue qui a qualité pour recourir, le recours est recevable (art. 382 al. 1 CPP).</w:t>
      </w:r>
    </w:p>
    <w:p>
      <w:r>
        <w:t>- 6 -</w:t>
      </w:r>
    </w:p>
    <w:p>
      <w:r>
        <w:rPr>
          <w:b/>
        </w:rPr>
        <w:t>E. 2.1</w:t>
      </w:r>
    </w:p>
    <w:p>
      <w:r>
        <w:t>La recourante fait valoir que les frais, y compris l'indemnité allouée à son défenseur d'office, doivent être laissés à la charge de l'Etat, dans la mesure où elle est libérée de l'infraction de mise en danger de la vie d'autrui. Elle relève que l'autre moitié des frais est mise à sa charge dans le cadre de l'ordonnance pénale rendue en parallèle. Elle indique ne pas discerner ce qui a nécessité « la moitié des actes d'instruction » en ce qui concerne la mise en danger, car il s'agit des mêmes faits. Elle fait enfin valoir qu'elle a été très collaborante pendant la procédure.</w:t>
      </w:r>
    </w:p>
    <w:p>
      <w:r>
        <w:rPr>
          <w:b/>
        </w:rPr>
        <w:t>E. 2.2.1</w:t>
      </w:r>
    </w:p>
    <w:p>
      <w:r>
        <w:t>Le sort des frais de procédure à l'issue de celle-ci est régi par les art. 422 ss CPP. Selon l'art. 426 al. 1 CPP,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2.2.2</w:t>
      </w:r>
    </w:p>
    <w:p>
      <w:r>
        <w:t>Les articles 319 ss CPP régissent le classement de la procédure. 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ne poursuit qu'une partie des faits allégués par la victime, il rend une ordonnance de classement partielle, afin de sauvegarder les droits de la partie plaignante. Dans ce cas, il doit être fait référence, dans l'ordonnance de classement partielle, à</w:t>
      </w:r>
    </w:p>
    <w:p>
      <w:r>
        <w:t>- 7 - l'accusation soulevée ou pendante, respectivement à l'ordonnance pénale rendue simultanément. Il doit ressortir de l'ordonnance de classement partielle que la procédure n'est pas classée dans son ensemble (ATF 148 IV 124 consid. 2.6.5). En revanche, s'il n'existe pas de faits ou de comportements distincts de ceux objet du renvoi en jugement ou de l'ordonnance pénale, il n'y a pas matière à classement, implicite ou explicite (TF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faits (Moreillon/Parein-Reymond, Petit commentaire du Code de procédure pénale, 3e éd., Bâle 2025, n. 4 ad art. 319 CPP ; ATF 144 IV 362 consid. 1.3.1 ; TF 6B_367/2020 et 6B_369/2020 du 17 janvier 2022 consid. 4.5.1).</w:t>
      </w:r>
    </w:p>
    <w:p>
      <w:r>
        <w:rPr>
          <w:b/>
        </w:rPr>
        <w:t>E. 2.3</w:t>
      </w:r>
    </w:p>
    <w:p>
      <w:r>
        <w:t>En l'espèce, Y.________ n'est certes pas condamnée pour mise en danger de la vie d'autrui, mais le classement dont elle bénéficie ne se rapporte qu'à la qualification juridique de mise en danger de la vie d'autrui, sans que des faits distincts de ceux faisant l'objet de l'ordonnance pénale rendue en parallèle à son encontre ne soient classés. En effet, à teneur de cette dernière décision, elle est condamnée pour lésions corporelles simples en raison des faits dénoncés par Z.________. Dans la mesure où la recourante est condamnée en raison des faits qui lui sont reprochés, il se justifie de mettre les frais de la procédure à sa charge conformément à l'art. 426 al. 1 CPP (cf. consid. 2.2.1 supra). Le grief soulevé par Y.________ s'avère ainsi infondé.</w:t>
      </w:r>
    </w:p>
    <w:p>
      <w:r>
        <w:rPr>
          <w:b/>
        </w:rPr>
        <w:t>E. 2.4</w:t>
      </w:r>
    </w:p>
    <w:p>
      <w:r>
        <w:t>En lien avec ce qui précède, la Chambre de céans observe cependant que le procédé du Ministère public consistant à rendre une ordonnance de classement partielle parallèlement au prononcé d'une ordonnance pénale, alors qu'il n'existe pas de faits ou de comportements distincts de ceux objet de l'ordonnance pénale mais que seule la</w:t>
      </w:r>
    </w:p>
    <w:p>
      <w:r>
        <w:t>- 8 - qualification juridique est discutée, s'avère problématique sous l'angle du principe ne bis in idem, étant rappelé qu'une ordonnance de classement entrée en force équivaut à un acquittement (art. 320 al. 4 CPP). Comme relevé ci-dessus, il ressort de la procédure que tous les faits allégués par la victime ont été retenus à l'encontre de la recourante. La gravité des lésions découlant de l'altercation n'est pas controversée et la plaignante n'a jamais prétendu avoir craint pour sa vie, même si elle a dit avoir eu peur et avoir été choquée. La reddition de deux décisions est d'autant plus problématique que le Procureur mentionne strictement les mêmes faits dans les deux décisions, sans préciser dans la motivation du classement que la recourante est condamnée en parallèle pour lésions corporelles simples en raison des faits qui lui sont reprochés. Il s'agit typiquement d'un cas où il se justifie de rendre uniquement une ordonnance pénale – indépendamment du sort réservé à cette procédure qui, pour rappel, fait l'objet d'une opposition. Le Ministère public a ainsi violé l'art. 319 al. 1 let. b CPP en rendant dans le cas d'espèce une ordonnance de classement partielle en parallèle à la reddition d'une ordonnance pénale. La manière dont le Ministère public règle le sort des frais de la procédure, en mettant la moitié de ceux-ci à la charge d'Y.________ dans chacune des deux ordonnances rendues, prête également le flanc à la critique. En effet, dans l'ordonnance de classement partielle, le Procureur justifie la mise de la moitié des frais de la procédure à la charge de la recourante en retenant que son comportement civilement répréhensible aurait justifié l'ouverture de la procédure. Or, tel que cela résulte de ce qui précède, la mise à la charge de la prévenue de l'intégralité des frais de la procédure se justifie par sa condamnation pénale, en application de l'art. 426 al. 1 CPP (cf. 2.3 supra). Enfin, la Chambre de céans relève qu'il ne se justifie pas d'allouer au défenseur d'office une indemnité d'office s'élevant à 1'892 fr. 95 dans l'ordonnance de classement, alors qu'une même indemnité de 1'892 fr. 95 – qui correspond à la somme totale requise par l'avocate – lui est allouée aux termes de l'ordonnance pénale rendue en parallèle. Cela</w:t>
      </w:r>
    </w:p>
    <w:p>
      <w:r>
        <w:t>- 9 - revient à octroyer sans motif au défenseur d'office le double de la somme demandée. Compte tenu des particularités du cas d’espèce et dans la mesure où la Chambre de céans dispose d'un pouvoir d'examen complet en fait et en droit, il se justifie, par substitution de motif, afin de réparer le vice entachant la procédure, d'annuler l'ordonnance de classement partielle et de renvoyer la cause au Ministère public pour qu'il statue sur celle-ci, y compris s'agissant de ses effets accessoires, dans une seule décision (ATF 144 IV 362 consid. 1.4.2 et 1.4.3). Cette possibilité lui est offerte dans la mesure où Y.________ a, parallèlement au recours déposé contre l'ordonnance de classement, formé opposition à l'ordonnance pénale.</w:t>
      </w:r>
    </w:p>
    <w:p>
      <w:r>
        <w:rPr>
          <w:b/>
        </w:rPr>
        <w:t>E. 3</w:t>
      </w:r>
    </w:p>
    <w:p>
      <w:r>
        <w:t>En définitive, le recours doit être admis par substitution de motif, l’ordonnance entreprise annulée et le dossier de la cause renvoyé au Ministère public de l’arrondissement de La Côte pour qu’il procède dans le sens des considérants.</w:t>
      </w:r>
    </w:p>
    <w:p>
      <w:r>
        <w:rPr>
          <w:b/>
        </w:rPr>
        <w:t>E. 4</w:t>
      </w:r>
    </w:p>
    <w:p>
      <w:r>
        <w:t>Compte tenu de la nature de l’affaire et de l’acte de recours déposé, l’indemnité allouée au défenseur d’office d'Y.________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Les frais de la procédure de recours, par 990 fr. (art. 20 al. 1 TFIP), ainsi que les frais imputables à la défense d’office, par 397 fr., seront laissés à la charge de l'Etat (art. 426 al. 3 let. a et 428 al. 4 CPP).</w:t>
      </w:r>
    </w:p>
    <w:p>
      <w:r>
        <w:t>- 10 - Par ces motifs, la Chambre des recours pénale prononce : I. Le recours est admis. II. L’ordonnance du 9 juillet 2025 est annulée. III. Le dossier de la cause est renvoyé au Ministère public de l'arrondissement de La Côte pour qu'il procède dans le sens des considérants. IV. L’indemnité allouée à Me Christel Burri, défenseur d’office d’Y.________, est fixée à 397 fr. (trois cent nonante-sept francs). V. Les frais d’arrêt, par 990 fr. (neuf cent nonante francs), ainsi que l'indemnité allouée au défenseur d'office d’Y.________, par 397 fr. (trois cent nonante-sept francs), sont laissés à la charge de l'Etat. VI. L’arrêt est exécutoire. Le Président : La greffière : Du Le présent arrêt, dont la rédaction a été approuvée à huis clos, est notifié, par l'envoi d'une copie complète, à : - Me Christel Burri, avocate (pour Y.________), - Ministère public central, et communiqué à : - M. le Procureur de l’arrondissement de La Côte, - Z.________, - Service de la population,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