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PE24.000709 vom 12. April 2024</w:t>
      </w:r>
    </w:p>
    <w:p>
      <w:r>
        <w:t>VD Tribunal cantonal, 2024-04-12, FR</w:t>
      </w:r>
    </w:p>
    <w:p>
      <w:r>
        <w:rPr>
          <w:b/>
        </w:rPr>
        <w:t xml:space="preserve">Quelle: </w:t>
      </w:r>
      <w:r>
        <w:t>https://mcp.opencaselaw.ch/entscheid/vd_gerichte_PE24.000709</w:t>
      </w:r>
    </w:p>
    <w:p>
      <w:r>
        <w:t>FR: VD_GERICHTE PE24.000709 du 12 avril 2024</w:t>
      </w:r>
    </w:p>
    <w:p>
      <w:r>
        <w:t>IT: VD_GERICHTE PE24.000709 del 12 aprile 2024</w:t>
      </w:r>
    </w:p>
    <w:p>
      <w:pPr>
        <w:pStyle w:val="Heading2"/>
      </w:pPr>
      <w:r>
        <w:t>Erwägungen</w:t>
      </w:r>
    </w:p>
    <w:p>
      <w:r>
        <w:rPr>
          <w:b/>
        </w:rPr>
        <w:t>E. 3</w:t>
      </w:r>
    </w:p>
    <w:p>
      <w:r>
        <w:t>Au vu de ce qui précède, le recours, manifestement mal fondé, doit être rejeté sans échange d’écritures (art. 390 al. 2 CPP) et l’ordonnance entreprise confirmée.</w:t>
      </w:r>
    </w:p>
    <w:p>
      <w:r>
        <w:t>- 11 - Vu le sort du recours, les frais de la procédure,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21 mars 2024 est confirmée. III. Les frais d’arrêt, par 1’100 fr. (mille cent francs) sont mis à la charge de G.________. IV. L’arrêt est exécutoire. Le président : Le greffier : Du Le présent arrêt, dont la rédaction a été approuvée à huis clos, est notifié, par l'envoi d'une copie complète, à : - Me Laurent Métrailler, avocat (pour G.________), - M. le Procureur général du canton de Vaud,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