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PE24.000419 vom 29. Februar 2024</w:t>
      </w:r>
    </w:p>
    <w:p>
      <w:r>
        <w:t>VD Tribunal cantonal, 2024-02-29, FR</w:t>
      </w:r>
    </w:p>
    <w:p>
      <w:r>
        <w:rPr>
          <w:b/>
        </w:rPr>
        <w:t xml:space="preserve">Quelle: </w:t>
      </w:r>
      <w:r>
        <w:t>https://mcp.opencaselaw.ch/entscheid/vd_gerichte_PE24.000419</w:t>
      </w:r>
    </w:p>
    <w:p>
      <w:r>
        <w:t>FR: VD_GERICHTE PE24.000419 du 29 février 2024</w:t>
      </w:r>
    </w:p>
    <w:p>
      <w:r>
        <w:t>IT: VD_GERICHTE PE24.000419 del 29 febbraio 2024</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qui prévoit que le détenu peut attaquer devant l’autorité de recours les décisions ordonnant une mise en détention provisoire ou une mise en détention pour des motifs de sûreté, ou encore la prolongation ou le terme de cette détention, autorise également le détenu, malgré une formulation peu claire, à attaquer devant l’autorité de recours une décision refusant la libération de la détention (CREP 15 février 2024/122 consid. 1.1 ; CREP 8 février 2024/100 consid. 1.1 ; CREP</w:t>
      </w:r>
    </w:p>
    <w:p>
      <w:r>
        <w:rPr>
          <w:b/>
        </w:rPr>
        <w:t>E. 1.2</w:t>
      </w:r>
    </w:p>
    <w:p>
      <w:r>
        <w:t>En l’espèce, interjeté dans le délai légal par un détenu qui a qualité pour recourir (art. 222 et 382 al. 1 CPP) et dans les formes prescrites (art. 385 al. 1 CPP), le recours est recevable. 2. 2.1 En vertu de l’art. 228 al. 1 CPP, le prévenu peut présenter en tout temps une demande de libération de la détention provisoire. Cette demande doit être admise si les conditions de la détention provisoire ne sont pas ou plus remplies. 2.2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 3.</w:t>
      </w:r>
    </w:p>
    <w:p>
      <w:r>
        <w:t>- 6 - 3.1 Le recourant ne conteste pas, à juste titre, l’existence de soupçons suffisants de commission d’un crime ou d’un délit. Cette condition est en effet réalisée puisqu’il a admis avoir porté des coups à son antagoniste alors qu’il avait un couteau dans les mains et qu’une partie des faits a été filmée par les caméras de vidéosurveillance, étant relevé que l’examen d’un éventuel état de légitime défense est du ressort du juge du fond. Il conteste en revanche tout risque de fuite et de collusion. S’agissant du risque de fuite, il soutient que celui-ci ne saurait être considéré comme concret, faisant valoir qu’il n’aurait conservé aucun lien avec ses pays d’origine, que sa famille vivrait en Italie – pays dont il ne connaîtrait pas la langue –, et que le centre de ses intérêts et de sa vie se trouverait désormais en Suisse. A cet égard, il indique que son amie vivrait en Suisse, pays où il séjournerait au bénéfice d’un permis L et dans lequel il aurait déjà travaillé pour différents employeurs. Il fait par ailleurs valoir qu’il n’aurait aucune raison de prendre la fuite dès lors qu’il a déposé plainte contre A.________ et s’est constitué partie civile, et que la peine à laquelle il s’expose ne serait pas de nature à justifier qu’il cherche à échapper à ses responsabilités. 3.2 Conformément à l'art. 221 al. 1 let. a CPP, la détention provisoire et la détention pour des motifs de sûreté peuvent être ordonnées s'il y a sérieusement lieu de craindre que le prévenu se soustraie à la procédure pénale ou à la sanction prévisible en prenant la fuite. D'après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w:t>
      </w:r>
    </w:p>
    <w:p>
      <w:r>
        <w:t>- 7 - 7B_1009/2023 du 6 février 2024 consid. 5.2 ; TF 7B_1011/2023 du 11 janvier 2024 consid. 4.1 et les références citées). Le risque de fuite s'étend également au risque de se soustraire à la procédure pénale ou à la sanction prévisible en tombant dans la clandestinité à l'intérieur du pays (ATF 143 IV 160 consid. 4.3, JdT 2018 IV 3 ; TF 1B_574/2020 du 3 décembre 2020 consid. 5.3.1 ; TF 1B_549/2020 du 9 novembre 2020 consid. 3.1). 3.3 En l’espèce, même si le recourant, ressortissant italien et marocain, est titulaire d’une autorisation de courte durée en Suisse, il n’a aucun domicile connu dans ce pays, mais uniquement une adresse de correspondance à Renens. Il a par ailleurs vécu plusieurs années en France, où il aurait notamment fait trois ans d’études et où il aurait travaillé pendant trois ans, et sa famille réside en Italie. Il s’est rendu pour la première fois en Suisse il y a un an et demi, avant de repartir et de revenir un mois avant les faits. S’il semble certes avoir également eu des emplois intérimaires en Suisse, pays dans lequel il aurait en outre une amie depuis une année, chez laquelle il logerait, cela ne suffit manifestement pas à considérer qu’il aurait un ancrage dans ce pays. A cet égard, il y a lieu de relever qu’il n’avait pas entrepris, avant son incarcération, les démarches pour régulariser sa situation du point de vue du droit des étrangers et que son permis L expirera au mois d’avril 2024. Ses liens avec la Suisse sont donc ténus et le risque qu’il tente de se soustraire à la procédure pénale ou à la sanction prévisible en prenant la fuite ou en tombant dans la clandestinité est probable compte tenu de la gravité des faits qui lui sont reprochés, étant relevé qu’il s’expose à une peine privative de liberté et à une expulsion obligatoire. Le fait qu’il ait l’intention de prendre des conclusions civiles à l’encontre d’A.________ n’y change rien. Le risque de fuite est donc concret. 3.4 Les conditions de l’art. 221 CPP étant alternatives (TF 1B_192/2022 du 12 mai 2022 consid. 4.1.2), l’existence d’un risque de fuite suffit à justifier le maintien en détention provisoire du recourant et</w:t>
      </w:r>
    </w:p>
    <w:p>
      <w:r>
        <w:t>- 8 - dispense la Chambre de céans d’examiner les arguments relatifs au risque de collusion, certes invoqué par le Ministère public, mais non examiné par le Tribunal des mesures de contrainte. 4. 4.1 Invoquant une violation du principe de la proportionnalité, le recourant soutient, dans sa conclusion subsidiaire, que des mesures de substitution à forme de l’obligation de déposer ses documents d’identité et de se présenter à un service administratif de manière régulière seraient à même d’empêcher la concrétisation du risque de fuite retenu. 4.2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w:t>
      </w:r>
    </w:p>
    <w:p>
      <w:r>
        <w:t>- 9 - prononcer à la place de la détention provisoire ou pour des motifs de sûreté si elles permettent d'empêcher la concrétisation du risque (ATF 142 IV 367 consid. 2.1, SJ 2017 I 233 ; ATF 133 I 270 consid. 2.2 ; Coquoz, in : Jeanneret et al. [éd.], Commentaire romand, Code de procédure pénale suisse, 2e éd., Bâle 2019, n. 2 ad art. 237 CPP). L’art. 237 al. 3 CPP précise que, pour surveiller l’exécution de ces mesures, le tribunal peut ordonner l’utilisation d’appareils techniques qui peuvent être fixés à la personne sous surveillance. 4.2.2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4.3 A l’instar du Tribunal des mesures de contrainte, la Chambre de céans considère que les mesures de substitution proposées par le recourant ne sont pas susceptibles de prévenir efficacement le risque constaté et qu’aucune autre mesure n’est à même de le pallier valablement. En effet, compte tenu de la probabilité que le recourant cherche à se soustraire à la justice, il faut considérer, avec la jurisprudence constante du Tribunal fédéral, que le dépôt de ses documents d'identité, même assorti d’une assignation à résidence combinée avec une mesure de surveillance électronique, ou encore l’obligation de se présenter régulièrement à un service administratif, n’est pas suffisamment efficace pour prévenir un risque sérieux de départ à l’étranger ou de disparition dans la clandestinité (ATF 145 IV 503 précité consid. 3.3.1 ; cf. TF 7B_1011/2023 précité consid. 5.3 et les références</w:t>
      </w:r>
    </w:p>
    <w:p>
      <w:r>
        <w:t>- 10 - citées ; TF 1B_228/2022 du 20 mai 2022 consid. 5.2 ; TF 1B_66/2022 du 28 février 2022 consid. 4.1), ce d’autant moins que les frontières terrestres avec la France et l’Italie, qui font partie de l'espace Schengen, sont aisément franchissables sans document d’identité et que le recourant dispose de la nationalité de ce dernier pays, qui pourrait lui délivrer de nouvelles pièces au besoin. Pour le surplus, il y a lieu de relever que le recourant encourt concrètement, au regard de la gravité des infractions envisagées, une peine d’une durée nettement supérieure à la période de détention provisoire qu’il a subie à ce jour. Le principe de la proportionnalité est donc respecté (art. 212 al. 3 CPP ; ATF 143 IV 168 précité).</w:t>
      </w:r>
    </w:p>
    <w:p>
      <w:r>
        <w:rPr>
          <w:b/>
        </w:rPr>
        <w:t>E. 5</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d’O.________ sera fixée à 450 fr., correspondant à une activité nécessaire d’avocat de 2 h 30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9 fr., plus la TVA au taux de 8,1 %, par 37 fr. 20, soit à 497 fr. au total en chiffres arrondis. Vu le sort du recours, les frais de la procédure, constitués en l’espèce de l’émolument d'arrêt, par 1’100 fr. (art. 20 al. 1 TFIP), et des frais imputables à la défense d’office d’O.________ (art. 422 al. 1 et 2 let. a CPP), fixés à 497 fr., seront mis à la charge du recourant, qui succombe (art. 428 al. 1 CPP).</w:t>
      </w:r>
    </w:p>
    <w:p>
      <w:r>
        <w:t>- 11 -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14 février 2024 est confirmée. III. L’indemnité allouée au défenseur d’office d’O.________ est fixée à 497 fr. (quatre cent nonante-sept francs). IV. Les frais d’arrêt, par 1’100 fr. (mille cent francs), ainsi que l’indemnité due au défenseur d’office du recourant, par 497 fr. (quatre cent nonante-sept francs), sont mis à la charge d’O.________. V. Le remboursement à l’Etat de l’indemnité allouée au chiffre III ci-dessus ne sera exigible que pour autant que la situation financière d’O.________ le permette. VI. L’arrêt est exécutoire. Le président : La greffière : Du Le présent arrêt, dont la rédaction a été approuvée à huis clos, est notifié, par l'envoi d'une copie complète, à : - Me Quentin Beausire, avocat (pour O.________), - Ministère public central,</w:t>
      </w:r>
    </w:p>
    <w:p>
      <w:r>
        <w:t>- 12 - et communiqué à : - M. le Président du Tribunal des mesures de contrainte, - Mme la Procureure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