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PE24.000186 vom 8. August 2025</w:t>
      </w:r>
    </w:p>
    <w:p>
      <w:r>
        <w:t>VD Tribunal cantonal, 2025-08-08, FR</w:t>
      </w:r>
    </w:p>
    <w:p>
      <w:r>
        <w:rPr>
          <w:b/>
        </w:rPr>
        <w:t xml:space="preserve">Quelle: </w:t>
      </w:r>
      <w:r>
        <w:t>https://mcp.opencaselaw.ch/entscheid/vd_gerichte_PE24.000186</w:t>
      </w:r>
    </w:p>
    <w:p>
      <w:r>
        <w:t>FR: VD_GERICHTE PE24.000186 du 8 août 2025</w:t>
      </w:r>
    </w:p>
    <w:p>
      <w:r>
        <w:t>IT: VD_GERICHTE PE24.000186 del 8 agosto 2025</w:t>
      </w:r>
    </w:p>
    <w:p>
      <w:pPr>
        <w:pStyle w:val="Heading2"/>
      </w:pPr>
      <w:r>
        <w:t>Erwägungen</w:t>
      </w:r>
    </w:p>
    <w:p>
      <w:r>
        <w:rPr>
          <w:b/>
        </w:rPr>
        <w:t>E. 20</w:t>
      </w:r>
    </w:p>
    <w:p>
      <w:r>
        <w:t>juillet 2023 consid. 3.5). Selon la maxime de l'instruction (art. 6 CPP), les autorités pénales doivent rechercher d'office tous les faits pertinents pour la qualification de l'acte et le jugement du prévenu (al. 1) ; elles doivent instruire avec un soin égal les circonstances qui peuvent être à la charge et à la décharge du prévenu (al. 2). La maxime de l'instruction n'oblige toutefois pas l'autorité à administrer des preuves d'office, même requises, lorsque les preuves administrées lui ont permis de se forger une conviction et que, procédant à une appréciation anticipée d'autres preuves, elle a la certitude qu'elles ne pourraient pas l'amener à modifier son opinion (cf. art. 139 al. 2 CPP ; TF 7B_901/2023 du 11 novembre 2024 consid. 3.2.1 et la référence citée). 2.2.2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w:t>
      </w:r>
    </w:p>
    <w:p>
      <w:r>
        <w:t>- 9 -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6B_1001/2024 du 9 juillet 2025 consid. 1.1.2). Les déclarations de la victime constituent un élément de preuve. Le juge doit, dans l'évaluation globale de l'ensemble des éléments probatoires rassemblés au dossier, les apprécier librement.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6B_1001/2024 précité consid. 1.1.4 et les références citées). On parle de témoin par ouï-dire (« vom Hörensagen »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si cela était vrai (ATF 148 I 295 consid. 2.4 et les références citées).</w:t>
      </w:r>
    </w:p>
    <w:p>
      <w:r>
        <w:t>- 10 - 2.2.3 En application de l’art. 177 al. 1 CP (Code pénal suisse du</w:t>
      </w:r>
    </w:p>
    <w:p>
      <w:r>
        <w:rPr>
          <w:b/>
        </w:rPr>
        <w:t>E. 21</w:t>
      </w:r>
    </w:p>
    <w:p>
      <w:r>
        <w:t>décembre 1937 ; RS 311.0), se rend coupable d’injure quiconque, de toute autre manière, attaque autrui dans son honneur par la parole, l’écriture, l’image, le geste ou par des voies de fait.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137 IV 313 consid. 2.1.3 ; TF 6B_589/2024 du 17 janvier 2025 consid. 3.1 et les références citées). 2.2.4 Aux termes de l’art. 180 al. 1 CP, se rend coupable de menaces quiconque, par une menace grave, alarme ou effraie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122 IV 322 consid. 1a). Toute menace ne tombe pas sous le coup de l'art. 180 CP. La loi exige en effet que la menace soit grave. C'est le cas si elle est objectivement de nature à alarmer ou à</w:t>
      </w:r>
    </w:p>
    <w:p>
      <w:r>
        <w:t>- 11 - effrayer la victime. Il convient à cet égard de tenir compte de la réaction qu'aurait une personne raisonnable face à une situation identique (ATF 122 IV 322 consid. 1a). Si le juge bénéficie d'un certain pouvoir d'appréciation pour déterminer si une menace est grave, il doit cependant tenir compte de l'ensemble de la situation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V 1 consid. 5a ; TF 6B_487/2024 du 9 avril 2025 consid. 3.2 et les références citées). 2.2.5 D’après l’art. 140 al. 1 CPP, les moyens de contrainte, le recours à la force, les menaces, les promesses, la tromperie et les moyens susceptibles de restreindre les facultés intellectuelles ou le libre arbitre sont interdits dans l’administration des preuves. A teneur de l’art. 141 al. 1, 1re phrase, CPP, les preuves administrées en violation de l’art. 140 CPP ne sont en aucun cas exploitables. L’art. 141 al. 2 CPP dispose que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 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leur exploitabilité (ATF 146 IV 226 consid. 2.1). Dans le cadre de cette pesée d’intérêts, il convient d’appliquer les mêmes critères que ceux</w:t>
      </w:r>
    </w:p>
    <w:p>
      <w:r>
        <w:t>- 12 - prévalant en matière d’administration des preuves par les autorités. Les moyens de preuve ne sont ainsi exploitables que s’ils sont indispensables pour élucider des infractions graves (ATF 147 IV 16 consid. 1.1 ; ATF 147 IV 9 consid. 1.3.1 ; ATF 146 IV 226 consid. 2 et les références citées ; TF 6B_734/2023 du 20 octobre 2023 consid. 3.1). En tout état de cause, au stade de l’instruction, il convient de ne constater l’inexploitabilité de ce genre de moyen de preuve que dans des cas manifestes (ATF 146 IV 226 consid. 2 ; TF 1B_625/2022 du 13 décembre 2022 consid. 2.2). Peuvent notamment être qualifiées d’illicites les preuves résultant d’une violation de la LPD (Loi fédérale sur la protection des données du 25 septembre 2020 ; RS 235.1) ou du Code civil (Code civil suisse du 10 décembre 1907 ; RS 210) (ATF 147 IV 9 précité consid. 1.3.2 ; ATF 146 IV 226 précité consid. 3). Les preuves récoltées de manière licite par des particuliers sont exploitables sans restriction (ATF 147 IV 16 consid. 1.2 ; TF 6B_902/2019 du 8 janvier 2020 consid. 1.2 ; TF 6B_734/2023 précité consid. 3.1). Les infractions graves au sens de l’art. 141 al. 2 CPP sont avant tout des crimes (ATF 147 IV 9 consid. 1.3.1 ; ATF 146 I 11 consid. 4.2 ; ATF 137 I 218 consid. 2.3.5.2). Pour déterminer si l'on est en présence d'une infraction grave au sens de l'art. 141 al. 2 CPP, il ne faut pas prendre en compte de manière générale certains éléments constitutifs de l'infraction et les peines abstraites qu'ils entraînent, mais l'ensemble des circonstances du cas concret. Ce qui est déterminant, ce n'est pas la peine dont on est menacé de manière abstraite, mais la gravité de l'acte concret (ATF 147 IV 16 consid. 6 ; ATF 147 IV 9 consid. 1.4.2). Il y a lieu de se baser sur des critères tels que le bien juridique protégé, l'ampleur de sa mise en danger ou de sa violation, le mode opératoire et l'énergie criminelle de l'auteur ou le motif de l'acte (ATF 147 IV 16 consid. 7.2 ; ATF 147 IV 9 consid. 1.4.2 et les références citées ; TF 7B_102/2024 du 11 mars 2024 consid. 2.6.1). 2.3 En l’espèce, s’agissant de l’enregistrement de la caméra de vidéosurveillance, même si elle devait être établie à satisfaction de droit,</w:t>
      </w:r>
    </w:p>
    <w:p>
      <w:r>
        <w:t>- 13 - l’allégation du recourant selon laquelle le prévenu se montrerait menaçant et injurieux de manière récurrente ne changerait pas le constat posé par la Chambre de céans dans son arrêt du 9 septembre 2024, selon lequel cette preuve était illicite dans la mesure où rien au dossier ne permettait d’affirmer que le recourant pouvait procéder à l’enregistrement pour se prémunir d’une éventuelle violation de la loi par le prévenu et où aucun fait justificatif n’était susceptible de rendre licite ledit enregistrement. L’affirmation du recourant n’est pas non plus propre à remettre en cause l’appréciation de la Chambre de céans suivant laquelle les infractions dénoncées n’étaient pas graves au point de justifier l’exploitation de cette preuve illicite. On précisera à cet égard que, contrairement à ce que le recourant semble penser, le fait que des menaces non graves répétées puissent être qualifiées de « menaces graves » au sens de l’art. 180 CP en fonction du contexte dans lequel elles ont pris place n’en fait pas encore une « infraction grave » aux termes de l’art. 141 al. 2 CPP. En l’occurrence, l’infraction de menaces n’est pas un crime au sens de l’art. 10 al. 2 CP et les actes concrets que le prévenu est accusé d’avoir commis ne peuvent manifestement pas être qualifiés de « graves ». Pour ce qui est des auditions de [...] et [...], selon les explications du recourant, ceux-ci seraient en mesure d’attester du comportement général du prévenu dans ses rapports de voisinage ainsi que de l’existence d’un conflit de longue date entre le recourant et le prévenu. Il s’agit ainsi de témoins indirects. Dans les cas où les déclarations des parties s’opposent sans qu’il existe de moyens de preuve directs corroborant la version de l’une ou de l’autre, le juge doit évaluer leur crédibilité respective. Dans ce contexte, les déclarations de témoins indirects qui viendraient confirmer l’existence d’un litige durable entre les parties ou d’un comportement fréquemment vindicatif du prévenu tendraient à renforcer la crédibilité des accusations du recourant et pourraient être susceptibles d’établir l’existence de soupçons suffisants justifiant une mise en accusation. Les auditions de [...] et [...] apparaissent ainsi nécessaires. Il convient donc d’annuler l’ordonnance entreprise et de renvoyer le dossier au Ministère public afin qu’il complète l’instruction en procédant à tout le moins aux auditions de ces deux personnes.</w:t>
      </w:r>
    </w:p>
    <w:p>
      <w:r>
        <w:t>- 14 - 3. En définitive, le recours de B.V.________ doit être déclaré irrecevable et le recours de C.V.________ doit être admis. L’ordonnance entreprise sera annulée et le dossier renvoyé au Ministère public afin qu’il procède dans le sens des considérants. Les frais de procédure, constitués du seul émolument de décision, par 1’430 fr. (art. 20 al. 1 TFIP [tarif des frais de procédure et indemnités en matière pénale du 28 septembre 2010 ; BLV 312.03.1]), seront mis pour moitié à la charge de B.V.________, dont le recours est irrecevable (art. 428 al. 1 CPP), soit par 715 francs. Le solde sera laissé à la charge de l’Etat. La part des frais mise à la charge de B.V.________ sera compensée avec le montant de 770 fr. que les recourants ont versé à titre de sûretés (art. 383 al. 1 CPP et 7 TFIP). Le solde, par 55 fr., leur sera restitué. Par ces motifs, la Chambre des recours pénale prononce : I. Le recours de B.V.________ est irrecevable. II. Le recours de C.V.________ est admis. III. L’ordonnance du 17 mars 2025 est annulée. IV. Le dossier de la cause est renvoyé au Ministère public de l’arrondissement de l’Est vaudois pour qu’il procède dans le sens des considérants. V. Les frais d’arrêt, par 1’430 fr. (mille quatre cent trente francs), sont mis pour moitié, soit 715 fr. (sept cent quinze francs), à la charge de B.V.________, le solde étant laissé à la charge de l’Etat. VI. Le montant de 770 fr. (sept cent septante francs) versé par C.V.________ et B.V.________ à titre de sûretés est compensé par la part des frais mise à la charge de B.V.________ au chiffre</w:t>
      </w:r>
    </w:p>
    <w:p>
      <w:r>
        <w:t>- 15 - V ci-dessus, et le solde en leur faveur, par 55 fr. (cinquante- cinq francs), leur est restitué. VII. L’arrêt est exécutoire. Le président : Le greffier : Du Le présent arrêt, dont la rédaction a été approuvée à huis clos, est notifié, par l'envoi d'une copie complète, à : - C.V.________, - B.V.________, -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