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PE23.025596 vom 13. Mai 2024</w:t>
      </w:r>
    </w:p>
    <w:p>
      <w:r>
        <w:t>VD Tribunal cantonal, 2024-05-13, FR</w:t>
      </w:r>
    </w:p>
    <w:p>
      <w:r>
        <w:rPr>
          <w:b/>
        </w:rPr>
        <w:t xml:space="preserve">Quelle: </w:t>
      </w:r>
      <w:r>
        <w:t>https://mcp.opencaselaw.ch/entscheid/vd_gerichte_PE23.025596</w:t>
      </w:r>
    </w:p>
    <w:p>
      <w:r>
        <w:t>FR: VD_GERICHTE PE23.025596 du 13 mai 2024</w:t>
      </w:r>
    </w:p>
    <w:p>
      <w:r>
        <w:t>IT: VD_GERICHTE PE23.025596 del 13 maggio 2024</w:t>
      </w:r>
    </w:p>
    <w:p>
      <w:pPr>
        <w:pStyle w:val="Heading2"/>
      </w:pPr>
      <w:r>
        <w:t>Erwägungen</w:t>
      </w:r>
    </w:p>
    <w:p>
      <w:r>
        <w:rPr>
          <w:b/>
        </w:rPr>
        <w:t>E. 1.1</w:t>
      </w:r>
    </w:p>
    <w:p>
      <w:r>
        <w:t>Aux termes de l’art. 393 al. 1 let. c CPP (Code de procédure pénale suisse du 5 octobre 2007 ; RS 312.0),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détenu, qui a qualité pour recourir (art. 222 et 382 al. 1 CPP), a interjeté recours dans le délai légal et dans les formes prescrites, de sorte que son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FF 2019 pp. 6351 ss]).</w:t>
      </w:r>
    </w:p>
    <w:p>
      <w:r>
        <w:t>- 5 -</w:t>
      </w:r>
    </w:p>
    <w:p>
      <w:r>
        <w:rPr>
          <w:b/>
        </w:rPr>
        <w:t>E. 3</w:t>
      </w:r>
    </w:p>
    <w:p>
      <w:r>
        <w:t>Le recourant ne conteste pas, à juste titre, l’existence de soupçons suffisants de commission d’un crime ou d’un délit.</w:t>
      </w:r>
    </w:p>
    <w:p>
      <w:r>
        <w:rPr>
          <w:b/>
        </w:rPr>
        <w:t>E. 4.1</w:t>
      </w:r>
    </w:p>
    <w:p>
      <w:r>
        <w:t>et les réf. citées). Plus l’instruction se trouve à un stade avancé et les faits sont établis avec précision, plus les exigences relatives à la preuve de l’existence d’un risque de collusion sont élevées (ATF 137 IV 122 précité consid. 4.2 ; ATF 132 I 21 précité consid. 3.2.2 ; TF 7B_464/2023 précité consid. 4.1).</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w:t>
      </w:r>
    </w:p>
    <w:p>
      <w:r>
        <w:t>- 6 - l’accomplissement. Dans cet examen entrent en ligne de compte les caractéristiques personnelles du détenu, son rôle dans l’infraction ainsi que ses liens avec les autres prévenus (ATF 137 IV 122 précité consid. 4.2 ; ATF 132 I 21 consid. 3.2 ; TF 7B_464/2023 du 11 septembre 2023 consid.</w:t>
      </w:r>
    </w:p>
    <w:p>
      <w:r>
        <w:rPr>
          <w:b/>
        </w:rPr>
        <w:t>E. 4.3</w:t>
      </w:r>
    </w:p>
    <w:p>
      <w:r>
        <w:t>En l’espèce, l’enquête n’en est qu’à ses débuts. À ce jour, seuls deux auteurs ont pu être interpellés, à savoir P.________ et le recourant. Il ressort cependant des investigations policières (cf. P. 7, 30 et 38), ainsi d’ailleurs que de la demande de détention provisoire du Ministère public du 24 avril 2024, que plusieurs autres auteurs seraient impliqués dans les faits reprochés, soit en particulier un certain « [...] » – qui ne semble toutefois pas être le [...] interpellé et auditionné le 23 avril 2024 –, le surnommé « [...] » – vraisemblablement [...] –, ainsi que [...], lequel n’a toutefois pas pu être interpellé malgré une intervention à son domicile le 23 avril 2024. L’enquête a également démontré que le véhicule que les prévenus ont cherché à accaparer devait être remis sur un parking à un « français » qui n’a pas encore pu être identifié à ce jour. Enfin, le mode opératoire relativement élaboré mis en place pour tenter de s’approprier la voiture de marque Mercedes, la découverte – dans le téléphone portable de P.________ – de photographies de cartes d’identité au nom de plus de dix personnes différentes et de fiches de salaire probablement fausses, ainsi que le contenu des messages qui s’y trouvaient (cf. spéc. P. 30), permettent de supposer que le recourant et ses comparses ont très probablement commis d’autres infractions que celles qui leur sont imputées à ce jour. Au vu de ce qui précède, et à l’instar du TMC ainsi que du Ministère public, on doit à l’évidence considérer que la libération du recourant entraînerait le risque qu’il prenne contact avec ses comparses encore en liberté pour tenter d’influer sur leurs déclarations et que ceux-ci</w:t>
      </w:r>
    </w:p>
    <w:p>
      <w:r>
        <w:t>- 7 - détruisent des preuves, en particulier leurs téléphones portables. On comprend par ailleurs, à la lecture de la décision entreprise tout comme de la demande du Ministère public, que ce risque existera à tout le moins jusqu’à ce que les suspects toujours en liberté aient pu être interpellés et auditionnés et le contenu de leurs téléphones portables analysé. Le fait que l’identité de certains des coauteurs potentiels soit connue de la police ne change rien à ce constat. Le risque de collusion retenu par le TMC doit par conséquent être confirmé et le grief soulevé par le recourant rejeté.</w:t>
      </w:r>
    </w:p>
    <w:p>
      <w:r>
        <w:rPr>
          <w:b/>
        </w:rPr>
        <w:t>E. 5.1</w:t>
      </w:r>
    </w:p>
    <w:p>
      <w:r>
        <w:t>Le recourant soutient ensuite que la durée de la détention serait disproportionnée. Il fait valoir qu’un mois serait suffisant pour permettre à la police d’appréhender les derniers suspects. Son jeune âge plaiderait, selon lui, également en faveur d’une réduction de la durée de la détention à un mois.</w:t>
      </w:r>
    </w:p>
    <w:p>
      <w:r>
        <w:rPr>
          <w:b/>
        </w:rPr>
        <w:t>E. 5.2</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w:t>
      </w:r>
    </w:p>
    <w:p>
      <w:r>
        <w:rPr>
          <w:b/>
        </w:rPr>
        <w:t>E. 5.3</w:t>
      </w:r>
    </w:p>
    <w:p>
      <w:r>
        <w:t>En l’espèce, il ressort des différents rapports de police versés au dossier que l’enquête est menée de manière rapide et diligente. S’il est par ailleurs probable que le surnommé « [...] » pourra être prochainement identifié et interpellé (cf. demande du Ministère public du 23 avril 2024, p. 3), il n’en va pas forcément de même du dénommé « [...] » et du « français » qui devait réceptionner le véhicule de marque Mercedes au</w:t>
      </w:r>
    </w:p>
    <w:p>
      <w:r>
        <w:t>- 8 - sujet desquels des investigations complémentaires devront encore être menées. Le recourant perd par ailleurs de vue que le contenu des téléphones portables des différents intéressés devra également être analysé, ce qui prendra un certain temps. La durée de trois mois se justifie donc pleinement au regard des mesures d’instruction encore nécessaires. Compte tenu de la gravité des infractions, qui portent notamment sur un butin conséquent au vu de la valeur du véhicule concerné, et du fait que le recourant semble déjà connu des services de police pour de nombreuses affaires de vol et d’escroquerie (cf. P. 30, p. 13), la durée de trois mois se justifie également au vu de la peine prévisible, et cela même si le recourant n’est âgé que de 19 ans. Au demeurant, aucune mesure de substitution ne serait en mesure de pallier le risque identifié ci-dessus (art. 36 al. 3 Cst. [Constitution fédérale de la Confédération suisse du 18 avril 1999 ; RS 101] ; art. 237 al. 1 CPP), le recourant n’en proposant d’ailleurs aucune.</w:t>
      </w:r>
    </w:p>
    <w:p>
      <w:r>
        <w:rPr>
          <w:b/>
        </w:rPr>
        <w:t>E. 6</w:t>
      </w:r>
    </w:p>
    <w:p>
      <w:r>
        <w:t>En définitive,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avril 2024 est confirmée. III. Les frais d’arrêt, par 880 fr. (huit cent huitante francs), sont mis à la charge de W.________.</w:t>
      </w:r>
    </w:p>
    <w:p>
      <w:r>
        <w:t>- 9 - IV. L’arrêt est exécutoire. La présidente : La greffière : Du Le présent arrêt, dont la rédaction a été approuvée à huis clos, est notifié, par l’envoi d’une copie complète, à : - Me Robert Fox, avocat (pour W.________),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