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PE23.025141 vom 19. Februar 2025</w:t>
      </w:r>
    </w:p>
    <w:p>
      <w:r>
        <w:t>VD Tribunal cantonal, 2025-02-19, FR</w:t>
      </w:r>
    </w:p>
    <w:p>
      <w:r>
        <w:rPr>
          <w:b/>
        </w:rPr>
        <w:t xml:space="preserve">Quelle: </w:t>
      </w:r>
      <w:r>
        <w:t>https://mcp.opencaselaw.ch/entscheid/vd_gerichte_PE23.025141</w:t>
      </w:r>
    </w:p>
    <w:p>
      <w:r>
        <w:t>FR: VD_GERICHTE PE23.025141 du 19 février 2025</w:t>
      </w:r>
    </w:p>
    <w:p>
      <w:r>
        <w:t>IT: VD_GERICHTE PE23.025141 del 19 febbraio 2025</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- 5 -</w:t>
      </w:r>
    </w:p>
    <w:p>
      <w:r>
        <w:rPr>
          <w:b/>
        </w:rPr>
        <w:t>E. 1.2</w:t>
      </w:r>
    </w:p>
    <w:p>
      <w:r>
        <w:t>En l’espèce, vu leur évidente connexité, les recours interjetés par F.________ et K.________ doivent être tranchés par un seul arrêt. Interjetés dans le délai légal, auprès de l’autorité compétente, par les prévenus qui ont la qualité pour recourir (art. 382 al. 1 CPP) et selon les formes prescrites (art. 385 al. 1 CPP), les recours sont en outre recevables.</w:t>
      </w:r>
    </w:p>
    <w:p>
      <w:r>
        <w:rPr>
          <w:b/>
        </w:rPr>
        <w:t>E. 2.1</w:t>
      </w:r>
    </w:p>
    <w:p>
      <w:r>
        <w:t>Les recourants ont tous deux invoqué que l’assistance d’un avocat était pleinement justifiée dans le cas d’espèce. Ils font en particulier valoir que les faits reprochés étaient graves, puisque le plaignant les accusait d’avoir commis des délits, que celui-ci n’avait pas produit, à dessein et dans le but de leur nuire, l’entier des pièces utiles à l’appui de sa plainte, ce qu’ils avaient dû faire pour se défendre, et que la consultation du dossier leur avait été refusée jusqu’à leur audition.</w:t>
      </w:r>
    </w:p>
    <w:p>
      <w:r>
        <w:rPr>
          <w:b/>
        </w:rPr>
        <w:t>E. 2.2</w:t>
      </w:r>
    </w:p>
    <w:p>
      <w:r>
        <w:t>Aux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tarifs des avocats n’opérant aucune distinction entre l’indemnité allouée et les honoraires dus en cas de défense privée. L’allocation d’une indemnité pour frais de défense selon cette disposition n’est pas limitée aux cas de défense obligatoire visés par l’art. 130 CPP. Elle peut être accordée dans les cas où le recours à un avocat apparaît tout simplement raisonnable.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p. 1312 ch. 2.10.3.1 ; ATF 142 IV 45 consid. 2.1 ; TF 7B_56/2022 du 20 septembre 2023 consid. 3.1 ;</w:t>
      </w:r>
    </w:p>
    <w:p>
      <w:r>
        <w:t>- 6 - TF 6B_591/2022 du 4 mai 2023 consid. 4.1.1).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(ATF 138 IV 197 consid. 2.3.5, JdT 2013 IV 184). Concernant un délit ou un crime, ce n’est qu’exceptionnellement que l’assistance d’un avocat peut être considérée comme ne constituant pas un exercice raisonnable des droits de la défense. Tel pourrait par exemple être le cas lorsque la procédure fait immédiatement l’objet d’un classement après une première audition (ATF 138 IV 197 consid. 2.3.5 ; TF 6B_938/2018 du 28 novembre 2018 consid. 1.1).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6B_938/2018 précité). Le recours à un avocat apparaît raisonnable en cas d’opposition à une ordonnance pénale avec audition du prévenu (ATF 142 IV 45 consid. 2.2). L’indemnité doit intervenir même si le prévenu bénéficie d’une protection juridique (ATF 142 IV 42 consid. 2, JdT 2016 IV 280).</w:t>
      </w:r>
    </w:p>
    <w:p>
      <w:r>
        <w:rPr>
          <w:b/>
        </w:rPr>
        <w:t>E. 2.3</w:t>
      </w:r>
    </w:p>
    <w:p>
      <w:r>
        <w:t>En l’espèce, il est vrai que le Ministère public n’a pas mis en œuvre d’autre mesure d’instruction que l’audition des prévenus avant de classer la procédure. Toutefois, il faut voir que, quand bien même elle n’atteignait pas un niveau de complexité extraordinaire, la cause comportait tout de même certaines difficultés. Il a fallu établir, pour écarter le délit de contrainte – dont la peine menace est de trois ans de privation de liberté (art. 181 CP [Code pénal suisse du 21 décembre 1937 ; RS 311.0]) –, la licéité du comportement des prévenus, ce qui impliquait une incursion dans le domaine du droit des contrats, sinon celui des droits réels – puisqu’il était question d’un droit rétention –, pour être en mesure de savoir quels étaient les titres qu’il fallait verser au dossier de la cause.</w:t>
      </w:r>
    </w:p>
    <w:p>
      <w:r>
        <w:t>- 7 - Ces démarches n’apparaissent guère accessibles à des non-juristes. A cela s’ajoute que, comme les recourants le font observer à juste titre, l’accès au dossier de la cause leur a été refusé jusqu’à ce qu’ils aient pu être entendus. Cette décision n’aura pas manqué de les conforter dans l’idée que la procédure pénale peut receler un certain nombre de subtilités qu’ils n’auraient pas été en capacité de maîtriser sans le concours de mandataires professionnels. Une autre source de difficulté résidait dans le fait que la plainte pénale était rédigée en allemand, langue que les recourants contestent comprendre, sans que le contraire ne soit établi. On relèvera enfin que, dans le délai qui lui a été imparti dans le cadre de l’avis de prochaine clôture, le plaignant a réagi par la voix de ses conseils français, ce qui, au regard du principe d’égalité des armes, représentait une raison de plus, pour les recourants, de s’assurer l’assistance d’avocats. Pour les motifs qui précèdent, en sollicitant l’appui et les conseils de mandataires professionnels, les prévenus ont exercé leurs droits de défense de manière raisonnable et justifiée. C’est donc à tort que le Ministère public a refusé aux recourants, prévenus bénéficiant d’un classement avec frais à la charge de l’Etat, toute indemnité au sens de l’art. 429 CPP. Afin de garantir le principe de la double instance, il convient que le Ministère public leur alloue ces indemnités sur la base des listes d’opérations produites les 11 et 18 juin 2024, qu’il appréciera (TF 6B_1’251/2016 du 19 juillet 2017 ; CREP 13 septembre 2024/654).</w:t>
      </w:r>
    </w:p>
    <w:p>
      <w:r>
        <w:rPr>
          <w:b/>
        </w:rPr>
        <w:t>E. 3</w:t>
      </w:r>
    </w:p>
    <w:p>
      <w:r>
        <w:t>En définitive, les recours doivent être admis, les chiffres II et III du dispositif de l’ordonnance entreprise annulés, l’ordonnance étant maintenue pour le surplus, et le dossier de la cause renvoyé au Ministère public pour qu’il complète le dispositif de l’ordonnance attaquée en statuant sur les prétentions fondées sur l’art. 429 CPP. Le recourant F.________, qui a procédé avec l’assistance d’un défenseur de choix et qui a obtenu gain de cause, a droit à une indemnité pour les dépenses occasionnées par la procédure de recours (art. 429 al. 1 let. a CPP), à la charge de l’Etat. Il a conclu à l’allocation d’une indemnité</w:t>
      </w:r>
    </w:p>
    <w:p>
      <w:r>
        <w:t>- 8 - correspondant à 6 heures d’activité d’avocat breveté. Cette durée est adéquate. Au vu de la nature de la cause, le tarif horaire sera arrêté à 300 fr., eu égard à l’art. 26a TFIP (tarif des frais de procédure et indemnités en matière pénale du 28 septembre 2010 ; BLV 312.03.1). L’indemnité nette sera ainsi fixée à 1’800 fr., montant auquel il convient d’ajouter des débours forfaitaires à concurrence de 2 % des honoraires admis (art. 19 al. 2 TDC [tarif des dépens en matière civile du 23 novembre 2010 ; BLV 270.11.6], applicable par renvoi de l’art. 26a al. 6 TFIP), par 36 fr., plus la TVA au taux de 8,1 %, par 148 fr. 70. L’indemnité totale s’élève ainsi à 1’985 fr. en chiffres arrondis. Le recourant K.________, qui a procédé avec l’assistance d’un défenseur de choix et qui a obtenu gain de cause, a également droit à une indemnité pour les dépenses occasionnées par la procédure de recours (art. 429 al. 1 let. a CPP), à la charge de l’Etat. Il a conclu à l’allocation d’une juste indemnité. Compte tenu de la nature de l’affaire et du mémoire de recours déposé, cette indemnité sera fixée à 1’200 fr., sur la base de 4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24 fr., plus un montant correspondant à la TVA, par 99 fr. 15, soit 1’324 fr. au total en chiffres arrondis. Vu le sort des recours, les frais d’arrêt, par 880 fr. (art. 20 al. 1 TFIP [tarif des frais de procédure et indemnités en matière pénale du 28 septembre 2010 ; BLV 312.03.1]), seront laissés à la charge de l’Etat (art. 428 al. 4 CPP).</w:t>
      </w:r>
    </w:p>
    <w:p>
      <w:r>
        <w:t>- 9 - Par ces motifs, la Chambre des recours pénale prononce : I. Les procédures de recours sont jointes. II. Les recours sont admis. III. L’ordonnance du 26 juillet 2024 est annulée aux chiffres II et III de son dispositif. L’ordonnance est maintenue pour le surplus. IV. Le dossier de la cause est renvoyé au Ministère public de l’arrondissement de La Côte pour qu’il procède dans le sens des considérants. V. Les frais d’arrêt, par 880 fr. (huit cent huitante francs), sont laissés à la charge de l’Etat. VI. Une indemnité de 1’985 fr. (mille neuf cent huitante-cinq francs) est allouée à F.________ pour les dépenses occasionnées par la procédure de recours, à la charge de l’Etat. VII. Une indemnité de 1’324 fr. (mille trois cent vingt-quatre francs) est allouée à K.________ pour les dépenses occasionnées par la procédure de recours, à la charge de l’Etat. VIII. L’arrêt est exécutoire. Le président : Le greffier : Du Le présent arrêt, dont la rédaction a été approuvée à huis clos, est notifié, par l'envoi d'une copie complète, à : - Me Nicolas Perret, avocat (pour F.________), - Me Frank Tièche, avocat (pour K.________),</w:t>
      </w:r>
    </w:p>
    <w:p>
      <w:r>
        <w:t>- 10 - - M.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